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otnotes.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1.wmf" ContentType="image/x-wmf"/>
  <Override PartName="/word/media/image3.png" ContentType="image/png"/>
  <Override PartName="/word/media/image2.wmf" ContentType="image/x-wmf"/>
  <Override PartName="/word/media/image4.png" ContentType="image/png"/>
  <Override PartName="/word/media/image5.png" ContentType="image/png"/>
  <Override PartName="/word/media/image6.png" ContentType="image/png"/>
  <Override PartName="/word/media/image7.png" ContentType="image/png"/>
  <Override PartName="/word/media/image9.png" ContentType="image/png"/>
  <Override PartName="/word/media/image8.wmf" ContentType="image/x-wmf"/>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t>Dear Councilmembers,</w:t>
      </w:r>
    </w:p>
    <w:p>
      <w:pPr>
        <w:pStyle w:val="Normal"/>
        <w:spacing w:lineRule="auto" w:line="240" w:before="0" w:after="0"/>
        <w:rPr/>
      </w:pPr>
      <w:r>
        <w:rPr/>
      </w:r>
    </w:p>
    <w:p>
      <w:pPr>
        <w:pStyle w:val="Normal"/>
        <w:rPr/>
      </w:pPr>
      <w:r>
        <w:rPr/>
        <w:t>I am writing to you again to voice my concerns over the proposed changes to the Land Use designation in the Pedro Point Field from Visitor-Serving Commercial Uses to a new Residential Mixed Use Designation.   I urge you to listen to your constituents—who have consistently advocated against this ill-advised and potentially dangerous Land Use Change.  By authorizing this change, you will be committing the City of Pacifica towards an avoidable battle against its own Citizens, Science, the California Coastal Commission, and the rising tides of the Pacific Ocean, while not actually saving any existing homes and families.  Proposing to change the basic framework of our City’s long-term land use designation with the aim of “fixing” the affordable housing crisis with new development in a seasonal wetlands subject to frequent flooding and tsunami inundation is a sham designed to maximize profits in the short-run, while leaving the City and its Citizens to clean up the inevitable disaster</w:t>
      </w:r>
      <w:bookmarkStart w:id="0" w:name="_GoBack"/>
      <w:bookmarkEnd w:id="0"/>
      <w:r>
        <w:rPr/>
        <w:t xml:space="preserve">.  </w:t>
      </w:r>
    </w:p>
    <w:p>
      <w:pPr>
        <w:pStyle w:val="Normal"/>
        <w:rPr/>
      </w:pPr>
      <w:r>
        <w:rPr/>
        <w:t>Inexplicably putting the city at substantial financial and legal risk benefits only one person, the land owner, who purchased the property in 1997, well after the Coastal Act was passed and the 1980 Local Coastal Land Use Plan and General Plan were adopted.</w:t>
      </w:r>
    </w:p>
    <w:p>
      <w:pPr>
        <w:pStyle w:val="Normal"/>
        <w:rPr/>
      </w:pPr>
      <w:r>
        <w:rPr/>
        <w:t>Under the current approved 1980 Local Coastal Plan, permissible land uses are described as the following:</w:t>
      </w:r>
    </w:p>
    <w:p>
      <w:pPr>
        <w:pStyle w:val="Quote"/>
        <w:spacing w:lineRule="auto" w:line="240" w:before="0" w:after="0"/>
        <w:ind w:left="720" w:right="720" w:hanging="0"/>
        <w:jc w:val="both"/>
        <w:rPr>
          <w:rFonts w:ascii="Garamond" w:hAnsi="Garamond"/>
          <w:i w:val="false"/>
          <w:i w:val="false"/>
          <w:iCs w:val="false"/>
        </w:rPr>
      </w:pPr>
      <w:bookmarkStart w:id="1" w:name="_Hlk17672076"/>
      <w:bookmarkStart w:id="2" w:name="_Hlk17671880"/>
      <w:r>
        <w:rPr>
          <w:rFonts w:ascii="Garamond" w:hAnsi="Garamond"/>
          <w:i w:val="false"/>
          <w:iCs w:val="false"/>
        </w:rPr>
        <w:t>“</w:t>
      </w:r>
      <w:r>
        <w:rPr>
          <w:rFonts w:ascii="Garamond" w:hAnsi="Garamond"/>
          <w:i w:val="false"/>
          <w:iCs w:val="false"/>
        </w:rPr>
        <w:t>The designated land use for this area is commercial with emphasis on coastal related and/or visitor-serving uses</w:t>
      </w:r>
      <w:bookmarkEnd w:id="2"/>
      <w:r>
        <w:rPr>
          <w:rFonts w:ascii="Garamond" w:hAnsi="Garamond"/>
          <w:i w:val="false"/>
          <w:iCs w:val="false"/>
        </w:rPr>
        <w:t xml:space="preserve">.  By combining all of the parcels in the area between Danmann and San Pedro Avenue, Highway 1 and the railroad berm and developing them as an integrated project along a realigned San Pedro Avenue, this small, oceanside commercial center could be rejuvenated and expanded to become an attractive visitor destination, as well as provide for neighborhood retail needs"  </w:t>
      </w:r>
      <w:bookmarkEnd w:id="1"/>
      <w:r>
        <w:rPr>
          <w:rFonts w:ascii="Garamond" w:hAnsi="Garamond"/>
          <w:i w:val="false"/>
          <w:iCs w:val="false"/>
        </w:rPr>
        <w:t>… adding a cultural center for performing arts and an attractive motel could, if carefully designed, enhance the appearance of this area and provide visitor services near the shoreline. …</w:t>
      </w:r>
    </w:p>
    <w:p>
      <w:pPr>
        <w:pStyle w:val="Quote"/>
        <w:spacing w:lineRule="auto" w:line="240" w:before="0" w:after="0"/>
        <w:ind w:left="720" w:right="720" w:hanging="0"/>
        <w:jc w:val="both"/>
        <w:rPr>
          <w:rFonts w:ascii="Garamond" w:hAnsi="Garamond"/>
          <w:i w:val="false"/>
          <w:i w:val="false"/>
          <w:iCs w:val="false"/>
        </w:rPr>
      </w:pPr>
      <w:bookmarkStart w:id="3" w:name="_Hlk17672123"/>
      <w:r>
        <w:rPr>
          <w:rFonts w:ascii="Garamond" w:hAnsi="Garamond"/>
          <w:i w:val="false"/>
          <w:iCs w:val="false"/>
        </w:rPr>
        <w:t>Small scale, rustic design and ample landscaping throughout the commercial development would complement the existing attractive design elements in the Pedro Point area.  Adequate public access through the development to the shoreline and a general orientation to coastal related/visitor-serving uses within the project would be appropriate in ·this location.</w:t>
      </w:r>
      <w:bookmarkEnd w:id="3"/>
      <w:r>
        <w:rPr>
          <w:rFonts w:ascii="Garamond" w:hAnsi="Garamond"/>
          <w:i w:val="false"/>
          <w:iCs w:val="false"/>
        </w:rPr>
        <w:t xml:space="preserve"> </w:t>
      </w:r>
      <w:r>
        <w:rPr>
          <w:rStyle w:val="FootnoteAnchor"/>
          <w:rFonts w:ascii="Garamond" w:hAnsi="Garamond"/>
          <w:i w:val="false"/>
          <w:iCs w:val="false"/>
        </w:rPr>
        <w:footnoteReference w:id="2"/>
      </w:r>
    </w:p>
    <w:p>
      <w:pPr>
        <w:pStyle w:val="Normal"/>
        <w:rPr/>
      </w:pPr>
      <w:r>
        <w:rPr/>
      </w:r>
    </w:p>
    <w:p>
      <w:pPr>
        <w:pStyle w:val="Normal"/>
        <w:rPr/>
      </w:pPr>
      <w:r>
        <w:rPr/>
        <w:t>The Proposed Land Use Designation,</w:t>
      </w:r>
      <w:r>
        <w:rPr>
          <w:rStyle w:val="FootnoteAnchor"/>
        </w:rPr>
        <w:footnoteReference w:id="3"/>
      </w:r>
      <w:r>
        <w:rPr/>
        <w:t xml:space="preserve"> as excerpted below, represents a complete change which will compromise an entire community’s quality of life, access to one of the Bay Area’s best family-friendly  beginner surfing beaches, and sustainable visitor-serving jobs.</w:t>
      </w:r>
    </w:p>
    <w:p>
      <w:pPr>
        <w:pStyle w:val="ListParagraph"/>
        <w:spacing w:lineRule="auto" w:line="240" w:before="0" w:after="0"/>
        <w:ind w:left="360" w:hanging="0"/>
        <w:contextualSpacing/>
        <w:rPr>
          <w:rFonts w:ascii="Garamond" w:hAnsi="Garamond" w:cs="Garamond"/>
          <w:color w:val="000000"/>
        </w:rPr>
      </w:pPr>
      <w:r>
        <w:rPr>
          <w:rFonts w:cs="Garamond-Bold" w:ascii="Garamond-Bold" w:hAnsi="Garamond-Bold"/>
          <w:b/>
          <w:bCs/>
          <w:color w:val="FF0000"/>
        </w:rPr>
        <w:t xml:space="preserve">LD-I-20 </w:t>
      </w:r>
      <w:r>
        <w:rPr>
          <w:rFonts w:cs="Garamond-Bold" w:ascii="Garamond-Bold" w:hAnsi="Garamond-Bold"/>
          <w:b/>
          <w:bCs/>
          <w:color w:val="000000"/>
        </w:rPr>
        <w:t xml:space="preserve">Undeveloped San Pedro Avenue Site. </w:t>
      </w:r>
      <w:r>
        <w:rPr>
          <w:rFonts w:cs="Garamond" w:ascii="Garamond" w:hAnsi="Garamond"/>
          <w:color w:val="000000"/>
        </w:rPr>
        <w:t xml:space="preserve">Establish a Coastal Residential Mixed Use zoning district to allow </w:t>
      </w:r>
      <w:r>
        <w:rPr>
          <w:rFonts w:cs="Garamond" w:ascii="Garamond" w:hAnsi="Garamond"/>
          <w:color w:val="FF0000"/>
        </w:rPr>
        <w:t xml:space="preserve">small-scale visitor-oriented commercial uses as a stand-alone project without any residential development, or small-scale visitor-oriented commercial uses with </w:t>
      </w:r>
      <w:r>
        <w:rPr>
          <w:rFonts w:cs="Garamond" w:ascii="Garamond" w:hAnsi="Garamond"/>
          <w:color w:val="000000"/>
        </w:rPr>
        <w:t xml:space="preserve">residential development at a density range of three to five units per gross acre. Housing may be clustered, and uses may be mixed </w:t>
      </w:r>
      <w:r>
        <w:rPr>
          <w:rFonts w:cs="Garamond" w:ascii="Garamond" w:hAnsi="Garamond"/>
          <w:color w:val="FF0000"/>
        </w:rPr>
        <w:t>vertically or horizontally</w:t>
      </w:r>
      <w:r>
        <w:rPr>
          <w:rFonts w:cs="Garamond" w:ascii="Garamond" w:hAnsi="Garamond"/>
          <w:color w:val="000000"/>
        </w:rPr>
        <w:t xml:space="preserve">. </w:t>
      </w:r>
      <w:r>
        <w:rPr>
          <w:rFonts w:cs="Garamond" w:ascii="Garamond" w:hAnsi="Garamond"/>
          <w:color w:val="FF0000"/>
        </w:rPr>
        <w:t xml:space="preserve">Residential uses shall be constructed attached to commercial uses. </w:t>
      </w:r>
      <w:r>
        <w:rPr>
          <w:rFonts w:cs="Garamond" w:ascii="Garamond" w:hAnsi="Garamond"/>
          <w:color w:val="000000"/>
        </w:rPr>
        <w:t>Development must include public coastal access and must provide public open space.</w:t>
      </w:r>
    </w:p>
    <w:p>
      <w:pPr>
        <w:pStyle w:val="Normal"/>
        <w:spacing w:lineRule="auto" w:line="240" w:before="0" w:after="0"/>
        <w:ind w:left="360" w:hanging="0"/>
        <w:rPr>
          <w:rFonts w:ascii="Garamond-Italic" w:hAnsi="Garamond-Italic" w:cs="Garamond-Italic"/>
          <w:i/>
          <w:i/>
          <w:iCs/>
          <w:color w:val="FF0000"/>
        </w:rPr>
      </w:pPr>
      <w:r>
        <w:rPr>
          <w:rFonts w:cs="Garamond-Italic" w:ascii="Garamond-Italic" w:hAnsi="Garamond-Italic"/>
          <w:i/>
          <w:iCs/>
          <w:color w:val="000000"/>
        </w:rPr>
        <w:t xml:space="preserve">A </w:t>
      </w:r>
      <w:r>
        <w:rPr>
          <w:rFonts w:cs="Garamond-Italic" w:ascii="Garamond-Italic" w:hAnsi="Garamond-Italic"/>
          <w:i/>
          <w:iCs/>
          <w:color w:val="FF0000"/>
        </w:rPr>
        <w:t xml:space="preserve">wetland </w:t>
      </w:r>
      <w:r>
        <w:rPr>
          <w:rFonts w:cs="Garamond-Italic" w:ascii="Garamond-Italic" w:hAnsi="Garamond-Italic"/>
          <w:i/>
          <w:iCs/>
          <w:color w:val="000000"/>
        </w:rPr>
        <w:t xml:space="preserve">survey </w:t>
      </w:r>
      <w:r>
        <w:rPr>
          <w:rFonts w:cs="Garamond-Italic" w:ascii="Garamond-Italic" w:hAnsi="Garamond-Italic"/>
          <w:i/>
          <w:iCs/>
          <w:color w:val="FF0000"/>
        </w:rPr>
        <w:t>conducted according to the requirements of Coastal Commission regulation 13577 (Title</w:t>
      </w:r>
    </w:p>
    <w:p>
      <w:pPr>
        <w:pStyle w:val="Normal"/>
        <w:spacing w:lineRule="auto" w:line="240" w:before="0" w:after="0"/>
        <w:ind w:left="360" w:hanging="0"/>
        <w:rPr>
          <w:rFonts w:ascii="Garamond-Italic" w:hAnsi="Garamond-Italic" w:cs="Garamond-Italic"/>
          <w:i/>
          <w:i/>
          <w:iCs/>
          <w:color w:val="000000"/>
        </w:rPr>
      </w:pPr>
      <w:r>
        <w:rPr>
          <w:rFonts w:cs="Garamond-Italic" w:ascii="Garamond-Italic" w:hAnsi="Garamond-Italic"/>
          <w:i/>
          <w:iCs/>
          <w:color w:val="FF0000"/>
        </w:rPr>
        <w:t xml:space="preserve">14, California Code of Regulations) </w:t>
      </w:r>
      <w:r>
        <w:rPr>
          <w:rFonts w:cs="Garamond-Italic" w:ascii="Garamond-Italic" w:hAnsi="Garamond-Italic"/>
          <w:i/>
          <w:iCs/>
          <w:color w:val="000000"/>
        </w:rPr>
        <w:t>is required to delineate potential wetlands on the site</w:t>
      </w:r>
      <w:r>
        <w:rPr>
          <w:rFonts w:cs="Garamond-Italic" w:ascii="Garamond-Italic" w:hAnsi="Garamond-Italic"/>
          <w:i/>
          <w:iCs/>
          <w:color w:val="FF0000"/>
        </w:rPr>
        <w:t xml:space="preserve">, if any, </w:t>
      </w:r>
      <w:r>
        <w:rPr>
          <w:rFonts w:cs="Garamond-Italic" w:ascii="Garamond-Italic" w:hAnsi="Garamond-Italic"/>
          <w:i/>
          <w:iCs/>
          <w:color w:val="000000"/>
        </w:rPr>
        <w:t>as part of</w:t>
      </w:r>
    </w:p>
    <w:p>
      <w:pPr>
        <w:pStyle w:val="Normal"/>
        <w:spacing w:lineRule="auto" w:line="240" w:before="0" w:after="0"/>
        <w:ind w:left="360" w:hanging="0"/>
        <w:rPr>
          <w:rFonts w:ascii="Garamond-Italic" w:hAnsi="Garamond-Italic" w:cs="Garamond-Italic"/>
          <w:i/>
          <w:i/>
          <w:iCs/>
          <w:color w:val="FF0000"/>
        </w:rPr>
      </w:pPr>
      <w:r>
        <w:rPr>
          <w:rFonts w:cs="Garamond-Italic" w:ascii="Garamond-Italic" w:hAnsi="Garamond-Italic"/>
          <w:i/>
          <w:iCs/>
          <w:color w:val="000000"/>
        </w:rPr>
        <w:t xml:space="preserve">the development application and environmental review process. </w:t>
      </w:r>
      <w:r>
        <w:rPr>
          <w:rFonts w:cs="Garamond-Italic" w:ascii="Garamond-Italic" w:hAnsi="Garamond-Italic"/>
          <w:i/>
          <w:iCs/>
          <w:color w:val="FF0000"/>
        </w:rPr>
        <w:t>An assessment of potential geotechnical</w:t>
      </w:r>
    </w:p>
    <w:p>
      <w:pPr>
        <w:pStyle w:val="Normal"/>
        <w:spacing w:lineRule="auto" w:line="240" w:before="0" w:after="0"/>
        <w:ind w:left="360" w:hanging="0"/>
        <w:rPr>
          <w:rFonts w:ascii="Garamond-Italic" w:hAnsi="Garamond-Italic" w:cs="Garamond-Italic"/>
          <w:i/>
          <w:i/>
          <w:iCs/>
          <w:color w:val="FF0000"/>
        </w:rPr>
      </w:pPr>
      <w:r>
        <w:rPr>
          <w:rFonts w:cs="Garamond-Italic" w:ascii="Garamond-Italic" w:hAnsi="Garamond-Italic"/>
          <w:i/>
          <w:iCs/>
          <w:color w:val="FF0000"/>
        </w:rPr>
        <w:t>hazards must also be part of the development application and environmental review process, including</w:t>
      </w:r>
    </w:p>
    <w:p>
      <w:pPr>
        <w:pStyle w:val="Normal"/>
        <w:spacing w:lineRule="auto" w:line="240" w:before="0" w:after="0"/>
        <w:ind w:left="360" w:hanging="0"/>
        <w:rPr/>
      </w:pPr>
      <w:r>
        <w:rPr>
          <w:rFonts w:cs="Garamond-Italic" w:ascii="Garamond-Italic" w:hAnsi="Garamond-Italic"/>
          <w:i/>
          <w:iCs/>
          <w:color w:val="FF0000"/>
        </w:rPr>
        <w:t>assessment of the Ocean Shore railroad berm under hazard and vulnerability scenarios consistent with policies in Chapters 5 and 6.</w:t>
      </w:r>
    </w:p>
    <w:p>
      <w:pPr>
        <w:pStyle w:val="Normal"/>
        <w:rPr/>
      </w:pPr>
      <w:r>
        <w:rPr/>
        <w:t xml:space="preserve">The table below summarizes how the proposed Coastal Residential Mixed Use designation as applied in Pedro Point Field fails to meet the basic statutes of the Coastal Act.  </w:t>
      </w:r>
    </w:p>
    <w:tbl>
      <w:tblPr>
        <w:tblStyle w:val="TableGrid"/>
        <w:tblW w:w="9265" w:type="dxa"/>
        <w:jc w:val="left"/>
        <w:tblInd w:w="0" w:type="dxa"/>
        <w:tblCellMar>
          <w:top w:w="0" w:type="dxa"/>
          <w:left w:w="108" w:type="dxa"/>
          <w:bottom w:w="0" w:type="dxa"/>
          <w:right w:w="108" w:type="dxa"/>
        </w:tblCellMar>
        <w:tblLook w:firstRow="1" w:noVBand="1" w:lastRow="0" w:firstColumn="1" w:lastColumn="0" w:noHBand="0" w:val="04a0"/>
      </w:tblPr>
      <w:tblGrid>
        <w:gridCol w:w="4854"/>
        <w:gridCol w:w="4410"/>
      </w:tblGrid>
      <w:tr>
        <w:trPr/>
        <w:tc>
          <w:tcPr>
            <w:tcW w:w="4854" w:type="dxa"/>
            <w:tcBorders/>
            <w:shd w:fill="auto" w:val="clear"/>
          </w:tcPr>
          <w:p>
            <w:pPr>
              <w:pStyle w:val="Normal"/>
              <w:spacing w:lineRule="auto" w:line="240" w:before="0" w:after="0"/>
              <w:rPr>
                <w:rFonts w:cs="Calibri" w:cstheme="minorHAnsi"/>
                <w:b/>
                <w:b/>
                <w:sz w:val="20"/>
                <w:szCs w:val="20"/>
              </w:rPr>
            </w:pPr>
            <w:r>
              <w:rPr>
                <w:rFonts w:cs="Calibri" w:cstheme="minorHAnsi"/>
                <w:b/>
                <w:sz w:val="20"/>
                <w:szCs w:val="20"/>
              </w:rPr>
              <w:t xml:space="preserve">Coastal Act Policy </w:t>
            </w:r>
          </w:p>
        </w:tc>
        <w:tc>
          <w:tcPr>
            <w:tcW w:w="4410" w:type="dxa"/>
            <w:tcBorders/>
            <w:shd w:fill="auto" w:val="clear"/>
          </w:tcPr>
          <w:p>
            <w:pPr>
              <w:pStyle w:val="Normal"/>
              <w:spacing w:lineRule="auto" w:line="240" w:before="0" w:after="0"/>
              <w:rPr>
                <w:rFonts w:cs="Calibri" w:cstheme="minorHAnsi"/>
                <w:sz w:val="20"/>
                <w:szCs w:val="20"/>
              </w:rPr>
            </w:pPr>
            <w:r>
              <w:rPr>
                <w:rFonts w:cs="Calibri" w:cstheme="minorHAnsi"/>
                <w:b/>
                <w:sz w:val="20"/>
                <w:szCs w:val="20"/>
              </w:rPr>
              <w:t xml:space="preserve">Coastal Residential Mixed Use </w:t>
            </w:r>
            <w:r>
              <w:rPr>
                <w:rFonts w:cs="Calibri" w:cstheme="minorHAnsi"/>
                <w:sz w:val="20"/>
                <w:szCs w:val="20"/>
              </w:rPr>
              <w:t>[</w:t>
            </w:r>
            <w:r>
              <w:rPr>
                <w:rFonts w:cs="Calibri" w:cstheme="minorHAnsi"/>
                <w:b/>
                <w:sz w:val="20"/>
                <w:szCs w:val="20"/>
              </w:rPr>
              <w:t>CRMU</w:t>
            </w:r>
            <w:r>
              <w:rPr>
                <w:rFonts w:cs="Calibri" w:cstheme="minorHAnsi"/>
                <w:sz w:val="20"/>
                <w:szCs w:val="20"/>
              </w:rPr>
              <w:t>]</w:t>
            </w:r>
          </w:p>
        </w:tc>
      </w:tr>
      <w:tr>
        <w:trPr/>
        <w:tc>
          <w:tcPr>
            <w:tcW w:w="4854" w:type="dxa"/>
            <w:tcBorders/>
            <w:shd w:fill="auto" w:val="clear"/>
          </w:tcPr>
          <w:p>
            <w:pPr>
              <w:pStyle w:val="Normal"/>
              <w:spacing w:lineRule="auto" w:line="240" w:before="0" w:after="0"/>
              <w:rPr>
                <w:rFonts w:cs="Calibri" w:cstheme="minorHAnsi"/>
                <w:sz w:val="20"/>
                <w:szCs w:val="20"/>
              </w:rPr>
            </w:pPr>
            <w:r>
              <w:rPr>
                <w:rFonts w:cs="Calibri" w:cstheme="minorHAnsi"/>
                <w:b/>
                <w:bCs/>
                <w:sz w:val="20"/>
                <w:szCs w:val="20"/>
              </w:rPr>
              <w:t>Section 30006: Public Participation</w:t>
            </w:r>
            <w:r>
              <w:rPr>
                <w:rFonts w:cs="Calibri" w:cstheme="minorHAnsi"/>
                <w:sz w:val="20"/>
                <w:szCs w:val="20"/>
              </w:rPr>
              <w:t xml:space="preserve"> “the public has a right to fully participate in decisions affecting coastal planning, conservation and development; that achievement of sound coastal conservation and development is dependent upon public understanding and support; and that the continuing planning and implementation of programs for coastal conservation and development should include the widest opportunity for public participation.”</w:t>
            </w:r>
          </w:p>
          <w:p>
            <w:pPr>
              <w:pStyle w:val="Normal"/>
              <w:spacing w:lineRule="auto" w:line="240" w:before="0" w:after="0"/>
              <w:rPr>
                <w:rFonts w:cs="Calibri" w:cstheme="minorHAnsi"/>
                <w:b/>
                <w:b/>
                <w:sz w:val="20"/>
                <w:szCs w:val="20"/>
              </w:rPr>
            </w:pPr>
            <w:r>
              <w:rPr>
                <w:rFonts w:cs="Calibri" w:cstheme="minorHAnsi"/>
                <w:b/>
                <w:sz w:val="20"/>
                <w:szCs w:val="20"/>
              </w:rPr>
            </w:r>
          </w:p>
        </w:tc>
        <w:tc>
          <w:tcPr>
            <w:tcW w:w="4410" w:type="dxa"/>
            <w:tcBorders/>
            <w:shd w:fill="auto" w:val="clear"/>
          </w:tcPr>
          <w:p>
            <w:pPr>
              <w:pStyle w:val="Normal"/>
              <w:spacing w:lineRule="auto" w:line="240" w:before="0" w:after="0"/>
              <w:rPr>
                <w:rFonts w:cs="Calibri" w:cstheme="minorHAnsi"/>
                <w:b/>
                <w:b/>
                <w:sz w:val="20"/>
                <w:szCs w:val="20"/>
              </w:rPr>
            </w:pPr>
            <w:r>
              <w:rPr>
                <w:rFonts w:cs="Calibri" w:cstheme="minorHAnsi"/>
                <w:b/>
                <w:sz w:val="20"/>
                <w:szCs w:val="20"/>
              </w:rPr>
              <w:t xml:space="preserve">FAIL: </w:t>
            </w:r>
            <w:r>
              <w:rPr>
                <w:rFonts w:cs="Calibri" w:cstheme="minorHAnsi"/>
                <w:bCs/>
                <w:sz w:val="20"/>
                <w:szCs w:val="20"/>
              </w:rPr>
              <w:t>The Pedro Point Community has consistently</w:t>
            </w:r>
            <w:r>
              <w:rPr>
                <w:rFonts w:cs="Calibri" w:cstheme="minorHAnsi"/>
                <w:b/>
                <w:sz w:val="20"/>
                <w:szCs w:val="20"/>
              </w:rPr>
              <w:t xml:space="preserve"> </w:t>
            </w:r>
            <w:r>
              <w:rPr>
                <w:rFonts w:cs="Calibri" w:cstheme="minorHAnsi"/>
                <w:bCs/>
                <w:sz w:val="20"/>
                <w:szCs w:val="20"/>
              </w:rPr>
              <w:t>opposed the introduction of mixed-Use land use designations in the Pedro Point Field; but it has not been heard.</w:t>
            </w:r>
            <w:r>
              <w:rPr>
                <w:rFonts w:cs="Calibri" w:cstheme="minorHAnsi"/>
                <w:b/>
                <w:sz w:val="20"/>
                <w:szCs w:val="20"/>
              </w:rPr>
              <w:t xml:space="preserve"> </w:t>
            </w:r>
          </w:p>
          <w:p>
            <w:pPr>
              <w:pStyle w:val="Normal"/>
              <w:spacing w:lineRule="auto" w:line="240" w:before="0" w:after="0"/>
              <w:rPr>
                <w:rFonts w:cs="Calibri" w:cstheme="minorHAnsi"/>
                <w:bCs/>
                <w:sz w:val="20"/>
                <w:szCs w:val="20"/>
              </w:rPr>
            </w:pPr>
            <w:r>
              <w:rPr>
                <w:rFonts w:cs="Calibri" w:cstheme="minorHAnsi"/>
                <w:bCs/>
                <w:sz w:val="20"/>
                <w:szCs w:val="20"/>
              </w:rPr>
              <w:t>See more below.</w:t>
            </w:r>
          </w:p>
        </w:tc>
      </w:tr>
      <w:tr>
        <w:trPr/>
        <w:tc>
          <w:tcPr>
            <w:tcW w:w="4854" w:type="dxa"/>
            <w:tcBorders/>
            <w:shd w:fill="auto" w:val="clear"/>
          </w:tcPr>
          <w:p>
            <w:pPr>
              <w:pStyle w:val="Normal"/>
              <w:spacing w:lineRule="auto" w:line="240" w:before="0" w:after="0"/>
              <w:rPr>
                <w:rFonts w:cs="Calibri" w:cstheme="minorHAnsi"/>
                <w:sz w:val="20"/>
                <w:szCs w:val="20"/>
              </w:rPr>
            </w:pPr>
            <w:r>
              <w:rPr>
                <w:rFonts w:cs="Calibri" w:cstheme="minorHAnsi"/>
                <w:b/>
                <w:sz w:val="20"/>
                <w:szCs w:val="20"/>
              </w:rPr>
              <w:t xml:space="preserve">Section 30212 New development projects – </w:t>
            </w:r>
            <w:r>
              <w:rPr>
                <w:rFonts w:cs="Calibri" w:cstheme="minorHAnsi"/>
                <w:sz w:val="20"/>
                <w:szCs w:val="20"/>
              </w:rPr>
              <w:t xml:space="preserve">(a) </w:t>
            </w:r>
            <w:r>
              <w:rPr>
                <w:rFonts w:cs="Calibri" w:cstheme="minorHAnsi"/>
                <w:b/>
                <w:i/>
                <w:sz w:val="20"/>
                <w:szCs w:val="20"/>
              </w:rPr>
              <w:t>Public access from the nearest public roadway to the shoreline</w:t>
            </w:r>
            <w:r>
              <w:rPr>
                <w:rFonts w:cs="Calibri" w:cstheme="minorHAnsi"/>
                <w:sz w:val="20"/>
                <w:szCs w:val="20"/>
              </w:rPr>
              <w:t xml:space="preserve"> and along the coast </w:t>
            </w:r>
            <w:r>
              <w:rPr>
                <w:rFonts w:cs="Calibri" w:cstheme="minorHAnsi"/>
                <w:i/>
                <w:sz w:val="20"/>
                <w:szCs w:val="20"/>
              </w:rPr>
              <w:t>shall</w:t>
            </w:r>
            <w:r>
              <w:rPr>
                <w:rFonts w:cs="Calibri" w:cstheme="minorHAnsi"/>
                <w:sz w:val="20"/>
                <w:szCs w:val="20"/>
              </w:rPr>
              <w:t xml:space="preserve"> be provided in </w:t>
            </w:r>
            <w:r>
              <w:rPr>
                <w:rFonts w:cs="Calibri" w:cstheme="minorHAnsi"/>
                <w:i/>
                <w:sz w:val="20"/>
                <w:szCs w:val="20"/>
              </w:rPr>
              <w:t>new development projects</w:t>
            </w:r>
            <w:r>
              <w:rPr>
                <w:rFonts w:cs="Calibri" w:cstheme="minorHAnsi"/>
                <w:sz w:val="20"/>
                <w:szCs w:val="20"/>
              </w:rPr>
              <w:t xml:space="preserve"> except where: </w:t>
            </w:r>
          </w:p>
          <w:p>
            <w:pPr>
              <w:pStyle w:val="Normal"/>
              <w:spacing w:lineRule="auto" w:line="240" w:before="0" w:after="0"/>
              <w:rPr>
                <w:rFonts w:cs="Calibri" w:cstheme="minorHAnsi"/>
                <w:sz w:val="20"/>
                <w:szCs w:val="20"/>
              </w:rPr>
            </w:pPr>
            <w:r>
              <w:rPr>
                <w:rFonts w:cs="Calibri" w:cstheme="minorHAnsi"/>
                <w:sz w:val="20"/>
                <w:szCs w:val="20"/>
              </w:rPr>
              <w:t>(1) [conflict] public safety, military security. protection of fragile coastal resources,</w:t>
            </w:r>
          </w:p>
          <w:p>
            <w:pPr>
              <w:pStyle w:val="Normal"/>
              <w:spacing w:lineRule="auto" w:line="240" w:before="0" w:after="0"/>
              <w:rPr>
                <w:rFonts w:cs="Calibri" w:cstheme="minorHAnsi"/>
                <w:sz w:val="20"/>
                <w:szCs w:val="20"/>
              </w:rPr>
            </w:pPr>
            <w:r>
              <w:rPr>
                <w:rFonts w:cs="Calibri" w:cstheme="minorHAnsi"/>
                <w:sz w:val="20"/>
                <w:szCs w:val="20"/>
              </w:rPr>
              <w:t xml:space="preserve">(2) [redundant shore access] </w:t>
            </w:r>
          </w:p>
          <w:p>
            <w:pPr>
              <w:pStyle w:val="Normal"/>
              <w:spacing w:lineRule="auto" w:line="240" w:before="0" w:after="0"/>
              <w:rPr>
                <w:rFonts w:cs="Calibri" w:cstheme="minorHAnsi"/>
                <w:sz w:val="20"/>
                <w:szCs w:val="20"/>
              </w:rPr>
            </w:pPr>
            <w:r>
              <w:rPr>
                <w:rFonts w:cs="Calibri" w:cstheme="minorHAnsi"/>
                <w:sz w:val="20"/>
                <w:szCs w:val="20"/>
              </w:rPr>
              <w:t>(3) [conflict] agriculture</w:t>
            </w:r>
            <w:r>
              <w:rPr>
                <w:rFonts w:cs="Calibri" w:cstheme="minorHAnsi"/>
                <w:b/>
                <w:sz w:val="20"/>
                <w:szCs w:val="20"/>
              </w:rPr>
              <w:t xml:space="preserve"> </w:t>
            </w:r>
          </w:p>
        </w:tc>
        <w:tc>
          <w:tcPr>
            <w:tcW w:w="4410" w:type="dxa"/>
            <w:tcBorders/>
            <w:shd w:fill="auto" w:val="clear"/>
          </w:tcPr>
          <w:p>
            <w:pPr>
              <w:pStyle w:val="Normal"/>
              <w:spacing w:lineRule="auto" w:line="240" w:before="0" w:after="0"/>
              <w:rPr>
                <w:rFonts w:cs="Calibri" w:cstheme="minorHAnsi"/>
                <w:sz w:val="20"/>
                <w:szCs w:val="20"/>
              </w:rPr>
            </w:pPr>
            <w:r>
              <w:rPr>
                <w:rFonts w:cs="Calibri" w:cstheme="minorHAnsi"/>
                <w:b/>
                <w:sz w:val="20"/>
                <w:szCs w:val="20"/>
              </w:rPr>
              <w:t>CONSTRAINT OR FAIL</w:t>
            </w:r>
            <w:r>
              <w:rPr>
                <w:rFonts w:cs="Calibri" w:cstheme="minorHAnsi"/>
                <w:sz w:val="20"/>
                <w:szCs w:val="20"/>
              </w:rPr>
              <w:t>: Mixed residential land use will constrain the three well-established and persistent foot trails that lead from San Pedro Avenue (the nearest public roadway to the shoreline) to a private beach with long-established open public access</w:t>
            </w:r>
          </w:p>
        </w:tc>
      </w:tr>
      <w:tr>
        <w:trPr>
          <w:trHeight w:val="1970" w:hRule="atLeast"/>
        </w:trPr>
        <w:tc>
          <w:tcPr>
            <w:tcW w:w="4854" w:type="dxa"/>
            <w:tcBorders/>
            <w:shd w:fill="auto" w:val="clear"/>
          </w:tcPr>
          <w:p>
            <w:pPr>
              <w:pStyle w:val="Normal"/>
              <w:spacing w:lineRule="auto" w:line="240" w:before="0" w:after="0"/>
              <w:rPr>
                <w:rFonts w:cs="Calibri" w:cstheme="minorHAnsi"/>
                <w:b/>
                <w:b/>
                <w:sz w:val="20"/>
                <w:szCs w:val="20"/>
              </w:rPr>
            </w:pPr>
            <w:r>
              <w:rPr>
                <w:rFonts w:cs="Calibri" w:cstheme="minorHAnsi"/>
                <w:b/>
                <w:sz w:val="20"/>
                <w:szCs w:val="20"/>
              </w:rPr>
              <w:t>Section 30221 Oceanfront land; protection for recreational use and Development</w:t>
            </w:r>
          </w:p>
          <w:p>
            <w:pPr>
              <w:pStyle w:val="Normal"/>
              <w:spacing w:lineRule="auto" w:line="240" w:before="0" w:after="0"/>
              <w:rPr>
                <w:rFonts w:cs="Calibri" w:cstheme="minorHAnsi"/>
                <w:sz w:val="20"/>
                <w:szCs w:val="20"/>
              </w:rPr>
            </w:pPr>
            <w:r>
              <w:rPr>
                <w:rFonts w:cs="Calibri" w:cstheme="minorHAnsi"/>
                <w:b/>
                <w:i/>
                <w:sz w:val="20"/>
                <w:szCs w:val="20"/>
              </w:rPr>
              <w:t>Oceanfront land suitable for recreational use shall be protected for recreational use and development</w:t>
            </w:r>
            <w:r>
              <w:rPr>
                <w:rFonts w:cs="Calibri" w:cstheme="minorHAnsi"/>
                <w:sz w:val="20"/>
                <w:szCs w:val="20"/>
              </w:rPr>
              <w:t xml:space="preserve"> unless present and foreseeable future demand for public or commercial recreational activities that could be accommodated on the property is already adequately provided for in the area.</w:t>
            </w:r>
          </w:p>
        </w:tc>
        <w:tc>
          <w:tcPr>
            <w:tcW w:w="4410" w:type="dxa"/>
            <w:tcBorders/>
            <w:shd w:fill="auto" w:val="clear"/>
          </w:tcPr>
          <w:p>
            <w:pPr>
              <w:pStyle w:val="Normal"/>
              <w:spacing w:lineRule="auto" w:line="240" w:before="0" w:after="0"/>
              <w:rPr>
                <w:rFonts w:cs="Calibri" w:cstheme="minorHAnsi"/>
                <w:b/>
                <w:b/>
                <w:sz w:val="20"/>
                <w:szCs w:val="20"/>
              </w:rPr>
            </w:pPr>
            <w:r>
              <w:rPr>
                <w:rFonts w:cs="Calibri" w:cstheme="minorHAnsi"/>
                <w:b/>
                <w:sz w:val="20"/>
                <w:szCs w:val="20"/>
              </w:rPr>
              <w:t xml:space="preserve">FAIL: </w:t>
            </w:r>
            <w:r>
              <w:rPr>
                <w:rFonts w:cs="Calibri" w:cstheme="minorHAnsi"/>
                <w:sz w:val="20"/>
                <w:szCs w:val="20"/>
              </w:rPr>
              <w:t>Residential development precludes recreational use and development.</w:t>
            </w:r>
            <w:r>
              <w:rPr>
                <w:rFonts w:cs="Calibri" w:cstheme="minorHAnsi"/>
                <w:b/>
                <w:sz w:val="20"/>
                <w:szCs w:val="20"/>
              </w:rPr>
              <w:t xml:space="preserve"> </w:t>
            </w:r>
          </w:p>
          <w:p>
            <w:pPr>
              <w:pStyle w:val="Normal"/>
              <w:spacing w:lineRule="auto" w:line="240" w:before="0" w:after="0"/>
              <w:rPr>
                <w:rFonts w:cs="Calibri" w:cstheme="minorHAnsi"/>
                <w:sz w:val="20"/>
                <w:szCs w:val="20"/>
              </w:rPr>
            </w:pPr>
            <w:r>
              <w:rPr>
                <w:rFonts w:cs="Calibri" w:cstheme="minorHAnsi"/>
                <w:sz w:val="20"/>
                <w:szCs w:val="20"/>
              </w:rPr>
              <w:t xml:space="preserve">Recreational opportunities in the neighborhood on alternate sites are precluded: steep hillslopes, saturated residential development. </w:t>
            </w:r>
          </w:p>
          <w:p>
            <w:pPr>
              <w:pStyle w:val="Normal"/>
              <w:spacing w:lineRule="auto" w:line="240" w:before="0" w:after="0"/>
              <w:rPr>
                <w:rFonts w:cs="Calibri" w:cstheme="minorHAnsi"/>
                <w:sz w:val="20"/>
                <w:szCs w:val="20"/>
              </w:rPr>
            </w:pPr>
            <w:r>
              <w:rPr>
                <w:rFonts w:cs="Calibri" w:cstheme="minorHAnsi"/>
                <w:sz w:val="20"/>
                <w:szCs w:val="20"/>
              </w:rPr>
              <w:t>The Pedro Point Field is less than a one-minute walk away from Linda Mar Beach: “The most well-loved and well-used beach in Pacifica!”</w:t>
            </w:r>
            <w:r>
              <w:rPr>
                <w:rStyle w:val="FootnoteAnchor"/>
                <w:rFonts w:cs="Calibri" w:cstheme="minorHAnsi"/>
                <w:sz w:val="20"/>
                <w:szCs w:val="20"/>
                <w:vertAlign w:val="superscript"/>
              </w:rPr>
              <w:footnoteReference w:id="4"/>
            </w:r>
          </w:p>
          <w:p>
            <w:pPr>
              <w:pStyle w:val="Normal"/>
              <w:spacing w:lineRule="auto" w:line="240" w:before="0" w:after="0"/>
              <w:rPr>
                <w:rFonts w:cs="Calibri" w:cstheme="minorHAnsi"/>
                <w:sz w:val="20"/>
                <w:szCs w:val="20"/>
              </w:rPr>
            </w:pPr>
            <w:r>
              <w:rPr>
                <w:rFonts w:cs="Calibri" w:cstheme="minorHAnsi"/>
                <w:sz w:val="20"/>
                <w:szCs w:val="20"/>
              </w:rPr>
              <w:t xml:space="preserve">Note that a property owner’s failure to pursue allowable economic benefits from his property from food trucks, </w:t>
            </w:r>
          </w:p>
        </w:tc>
      </w:tr>
      <w:tr>
        <w:trPr/>
        <w:tc>
          <w:tcPr>
            <w:tcW w:w="4854" w:type="dxa"/>
            <w:tcBorders/>
            <w:shd w:fill="auto" w:val="clear"/>
          </w:tcPr>
          <w:p>
            <w:pPr>
              <w:pStyle w:val="Normal"/>
              <w:spacing w:lineRule="auto" w:line="240" w:before="0" w:after="0"/>
              <w:rPr>
                <w:rFonts w:cs="Calibri" w:cstheme="minorHAnsi"/>
                <w:b/>
                <w:b/>
                <w:sz w:val="20"/>
                <w:szCs w:val="20"/>
              </w:rPr>
            </w:pPr>
            <w:r>
              <w:rPr>
                <w:rFonts w:cs="Calibri" w:cstheme="minorHAnsi"/>
                <w:b/>
                <w:sz w:val="20"/>
                <w:szCs w:val="20"/>
              </w:rPr>
              <w:t>Section 30222 Private lands; priority of development purposes</w:t>
            </w:r>
          </w:p>
          <w:p>
            <w:pPr>
              <w:pStyle w:val="Normal"/>
              <w:spacing w:lineRule="auto" w:line="240" w:before="0" w:after="0"/>
              <w:rPr>
                <w:rFonts w:cs="Calibri" w:cstheme="minorHAnsi"/>
                <w:bCs/>
                <w:sz w:val="20"/>
                <w:szCs w:val="20"/>
              </w:rPr>
            </w:pPr>
            <w:r>
              <w:rPr>
                <w:rFonts w:cs="Calibri" w:cstheme="minorHAnsi"/>
                <w:bCs/>
                <w:sz w:val="20"/>
                <w:szCs w:val="20"/>
              </w:rPr>
              <w:t xml:space="preserve">The use of private lands suitable for </w:t>
            </w:r>
            <w:r>
              <w:rPr>
                <w:rFonts w:cs="Calibri" w:cstheme="minorHAnsi"/>
                <w:bCs/>
                <w:i/>
                <w:sz w:val="20"/>
                <w:szCs w:val="20"/>
              </w:rPr>
              <w:t>visitor-serving commercial recreational facilities</w:t>
            </w:r>
            <w:r>
              <w:rPr>
                <w:rFonts w:cs="Calibri" w:cstheme="minorHAnsi"/>
                <w:bCs/>
                <w:sz w:val="20"/>
                <w:szCs w:val="20"/>
              </w:rPr>
              <w:t xml:space="preserve"> designed to enhance public opportunities for coastal recreation </w:t>
            </w:r>
            <w:r>
              <w:rPr>
                <w:rFonts w:cs="Calibri" w:cstheme="minorHAnsi"/>
                <w:bCs/>
                <w:i/>
                <w:sz w:val="20"/>
                <w:szCs w:val="20"/>
              </w:rPr>
              <w:t>shall have priority</w:t>
            </w:r>
            <w:r>
              <w:rPr>
                <w:rFonts w:cs="Calibri" w:cstheme="minorHAnsi"/>
                <w:bCs/>
                <w:sz w:val="20"/>
                <w:szCs w:val="20"/>
              </w:rPr>
              <w:t xml:space="preserve"> over </w:t>
            </w:r>
            <w:r>
              <w:rPr>
                <w:rFonts w:cs="Calibri" w:cstheme="minorHAnsi"/>
                <w:bCs/>
                <w:i/>
                <w:sz w:val="20"/>
                <w:szCs w:val="20"/>
              </w:rPr>
              <w:t>private residential</w:t>
            </w:r>
            <w:r>
              <w:rPr>
                <w:rFonts w:cs="Calibri" w:cstheme="minorHAnsi"/>
                <w:bCs/>
                <w:sz w:val="20"/>
                <w:szCs w:val="20"/>
              </w:rPr>
              <w:t>, general industrial, or general commercial development, but not over agriculture or coastal-dependent industry.</w:t>
            </w:r>
          </w:p>
          <w:p>
            <w:pPr>
              <w:pStyle w:val="Normal"/>
              <w:spacing w:lineRule="auto" w:line="240" w:before="0" w:after="0"/>
              <w:rPr>
                <w:rFonts w:cs="Calibri" w:cstheme="minorHAnsi"/>
                <w:sz w:val="20"/>
                <w:szCs w:val="20"/>
              </w:rPr>
            </w:pPr>
            <w:r>
              <w:rPr>
                <w:rFonts w:cs="Calibri" w:cstheme="minorHAnsi"/>
                <w:sz w:val="20"/>
                <w:szCs w:val="20"/>
              </w:rPr>
            </w:r>
          </w:p>
        </w:tc>
        <w:tc>
          <w:tcPr>
            <w:tcW w:w="4410" w:type="dxa"/>
            <w:tcBorders/>
            <w:shd w:fill="auto" w:val="clear"/>
          </w:tcPr>
          <w:p>
            <w:pPr>
              <w:pStyle w:val="Normal"/>
              <w:spacing w:lineRule="auto" w:line="240" w:before="0" w:after="0"/>
              <w:rPr>
                <w:rFonts w:cs="Calibri" w:cstheme="minorHAnsi"/>
                <w:sz w:val="20"/>
                <w:szCs w:val="20"/>
              </w:rPr>
            </w:pPr>
            <w:r>
              <w:rPr>
                <w:rFonts w:cs="Calibri" w:cstheme="minorHAnsi"/>
                <w:b/>
                <w:sz w:val="20"/>
                <w:szCs w:val="20"/>
              </w:rPr>
              <w:t>FAIL</w:t>
            </w:r>
            <w:r>
              <w:rPr>
                <w:rFonts w:cs="Calibri" w:cstheme="minorHAnsi"/>
                <w:sz w:val="20"/>
                <w:szCs w:val="20"/>
              </w:rPr>
              <w:t xml:space="preserve">:  </w:t>
              <w:br/>
              <w:t>Private residential development and general commercial development are allowed to have priority over and exclude visitor-serving commercial recreational development.</w:t>
            </w:r>
          </w:p>
        </w:tc>
      </w:tr>
      <w:tr>
        <w:trPr/>
        <w:tc>
          <w:tcPr>
            <w:tcW w:w="4854" w:type="dxa"/>
            <w:tcBorders/>
            <w:shd w:fill="auto" w:val="clear"/>
          </w:tcPr>
          <w:p>
            <w:pPr>
              <w:pStyle w:val="Normal"/>
              <w:spacing w:lineRule="auto" w:line="240" w:before="0" w:after="0"/>
              <w:rPr>
                <w:rFonts w:cs="Calibri" w:cstheme="minorHAnsi"/>
                <w:b/>
                <w:b/>
                <w:sz w:val="20"/>
                <w:szCs w:val="20"/>
              </w:rPr>
            </w:pPr>
            <w:r>
              <w:rPr>
                <w:rFonts w:cs="Calibri" w:cstheme="minorHAnsi"/>
                <w:b/>
                <w:sz w:val="20"/>
                <w:szCs w:val="20"/>
              </w:rPr>
              <w:t>Section 30240 Environmentally sensitive habitat areas (ESHA); adjacent developments</w:t>
            </w:r>
          </w:p>
          <w:p>
            <w:pPr>
              <w:pStyle w:val="Normal"/>
              <w:spacing w:lineRule="auto" w:line="240" w:before="0" w:after="0"/>
              <w:rPr>
                <w:rFonts w:cs="Calibri" w:cstheme="minorHAnsi"/>
                <w:i/>
                <w:i/>
                <w:sz w:val="20"/>
                <w:szCs w:val="20"/>
              </w:rPr>
            </w:pPr>
            <w:r>
              <w:rPr>
                <w:rFonts w:cs="Calibri" w:cstheme="minorHAnsi"/>
                <w:sz w:val="20"/>
                <w:szCs w:val="20"/>
              </w:rPr>
              <w:t>(a) Environmentally sensitive habitat areas sh</w:t>
            </w:r>
            <w:r>
              <w:rPr>
                <w:rFonts w:cs="Calibri" w:cstheme="minorHAnsi"/>
                <w:i/>
                <w:sz w:val="20"/>
                <w:szCs w:val="20"/>
              </w:rPr>
              <w:t xml:space="preserve">all be protected against any significant disruption of habitat values, and only uses dependent on those resources shall be allowed within those areas. </w:t>
            </w:r>
          </w:p>
          <w:p>
            <w:pPr>
              <w:pStyle w:val="Normal"/>
              <w:spacing w:lineRule="auto" w:line="240" w:before="0" w:after="0"/>
              <w:rPr>
                <w:rFonts w:cs="Calibri" w:cstheme="minorHAnsi"/>
                <w:sz w:val="20"/>
                <w:szCs w:val="20"/>
              </w:rPr>
            </w:pPr>
            <w:r>
              <w:rPr>
                <w:rFonts w:cs="Calibri" w:cstheme="minorHAnsi"/>
                <w:sz w:val="20"/>
                <w:szCs w:val="20"/>
              </w:rPr>
              <w:t xml:space="preserve">(b) Development in areas adjacent to environmentally sensitive habitat areas and parks and recreation areas </w:t>
            </w:r>
            <w:r>
              <w:rPr>
                <w:rFonts w:cs="Calibri" w:cstheme="minorHAnsi"/>
                <w:i/>
                <w:sz w:val="20"/>
                <w:szCs w:val="20"/>
              </w:rPr>
              <w:t>shall be sited and designed to prevent impacts which would significantly degrade</w:t>
            </w:r>
            <w:r>
              <w:rPr>
                <w:rFonts w:cs="Calibri" w:cstheme="minorHAnsi"/>
                <w:sz w:val="20"/>
                <w:szCs w:val="20"/>
              </w:rPr>
              <w:t xml:space="preserve"> those areas, and </w:t>
            </w:r>
            <w:r>
              <w:rPr>
                <w:rFonts w:cs="Calibri" w:cstheme="minorHAnsi"/>
                <w:i/>
                <w:sz w:val="20"/>
                <w:szCs w:val="20"/>
              </w:rPr>
              <w:t>shall be compatible with the continuance of those habitat and recreation areas</w:t>
            </w:r>
            <w:r>
              <w:rPr>
                <w:rFonts w:cs="Calibri" w:cstheme="minorHAnsi"/>
                <w:sz w:val="20"/>
                <w:szCs w:val="20"/>
              </w:rPr>
              <w:t>.</w:t>
            </w:r>
          </w:p>
          <w:p>
            <w:pPr>
              <w:pStyle w:val="Normal"/>
              <w:spacing w:lineRule="auto" w:line="240" w:before="0" w:after="0"/>
              <w:rPr>
                <w:rFonts w:cs="Calibri" w:cstheme="minorHAnsi"/>
                <w:sz w:val="20"/>
                <w:szCs w:val="20"/>
              </w:rPr>
            </w:pPr>
            <w:r>
              <w:rPr>
                <w:rFonts w:cs="Calibri" w:cstheme="minorHAnsi"/>
                <w:sz w:val="20"/>
                <w:szCs w:val="20"/>
              </w:rPr>
            </w:r>
          </w:p>
        </w:tc>
        <w:tc>
          <w:tcPr>
            <w:tcW w:w="4410" w:type="dxa"/>
            <w:tcBorders/>
            <w:shd w:fill="auto" w:val="clear"/>
          </w:tcPr>
          <w:p>
            <w:pPr>
              <w:pStyle w:val="Normal"/>
              <w:spacing w:lineRule="auto" w:line="240" w:before="0" w:after="0"/>
              <w:rPr>
                <w:rFonts w:cs="Calibri" w:cstheme="minorHAnsi"/>
                <w:sz w:val="20"/>
                <w:szCs w:val="20"/>
              </w:rPr>
            </w:pPr>
            <w:r>
              <w:rPr>
                <w:rFonts w:cs="Calibri" w:cstheme="minorHAnsi"/>
                <w:b/>
                <w:sz w:val="20"/>
                <w:szCs w:val="20"/>
              </w:rPr>
              <w:t>FAIL</w:t>
            </w:r>
            <w:r>
              <w:rPr>
                <w:rFonts w:cs="Calibri" w:cstheme="minorHAnsi"/>
                <w:sz w:val="20"/>
                <w:szCs w:val="20"/>
              </w:rPr>
              <w:t xml:space="preserve">: Residential development density range would require fill and drainage of seasonal wetlands and degrade ESHA wetlands. </w:t>
            </w:r>
          </w:p>
          <w:p>
            <w:pPr>
              <w:pStyle w:val="Normal"/>
              <w:spacing w:lineRule="auto" w:line="240" w:before="0" w:after="0"/>
              <w:rPr/>
            </w:pPr>
            <w:r>
              <w:rPr>
                <w:rFonts w:cs="Calibri" w:cstheme="minorHAnsi"/>
                <w:sz w:val="20"/>
                <w:szCs w:val="20"/>
              </w:rPr>
              <w:t xml:space="preserve">See Testimony of Dr. Peter Baye, submitted to the Council on July 7, 2014 and posted at </w:t>
            </w:r>
            <w:hyperlink r:id="rId2">
              <w:r>
                <w:rPr>
                  <w:rStyle w:val="InternetLink"/>
                  <w:rFonts w:cs="Calibri" w:cstheme="minorHAnsi"/>
                  <w:sz w:val="20"/>
                  <w:szCs w:val="20"/>
                </w:rPr>
                <w:t>pedropoint.org/the-pedro-point-field</w:t>
              </w:r>
            </w:hyperlink>
          </w:p>
          <w:p>
            <w:pPr>
              <w:pStyle w:val="Normal"/>
              <w:spacing w:lineRule="auto" w:line="240" w:before="0" w:after="0"/>
              <w:rPr>
                <w:rFonts w:cs="Calibri" w:cstheme="minorHAnsi"/>
                <w:sz w:val="20"/>
                <w:szCs w:val="20"/>
              </w:rPr>
            </w:pPr>
            <w:r>
              <w:rPr>
                <w:rFonts w:cs="Calibri" w:cstheme="minorHAnsi"/>
                <w:sz w:val="20"/>
                <w:szCs w:val="20"/>
              </w:rPr>
            </w:r>
          </w:p>
          <w:p>
            <w:pPr>
              <w:pStyle w:val="Normal"/>
              <w:spacing w:lineRule="auto" w:line="240" w:before="0" w:after="0"/>
              <w:rPr>
                <w:rFonts w:cs="Calibri" w:cstheme="minorHAnsi"/>
                <w:sz w:val="20"/>
                <w:szCs w:val="20"/>
              </w:rPr>
            </w:pPr>
            <w:r>
              <w:rPr>
                <w:rFonts w:cs="Calibri" w:cstheme="minorHAnsi"/>
                <w:sz w:val="20"/>
                <w:szCs w:val="20"/>
              </w:rPr>
            </w:r>
          </w:p>
        </w:tc>
      </w:tr>
      <w:tr>
        <w:trPr/>
        <w:tc>
          <w:tcPr>
            <w:tcW w:w="4854" w:type="dxa"/>
            <w:tcBorders/>
            <w:shd w:fill="auto" w:val="clear"/>
          </w:tcPr>
          <w:p>
            <w:pPr>
              <w:pStyle w:val="Normal"/>
              <w:spacing w:lineRule="auto" w:line="240" w:before="0" w:after="0"/>
              <w:rPr>
                <w:rFonts w:cs="Calibri" w:cstheme="minorHAnsi"/>
                <w:b/>
                <w:b/>
                <w:bCs/>
                <w:sz w:val="20"/>
                <w:szCs w:val="20"/>
              </w:rPr>
            </w:pPr>
            <w:r>
              <w:rPr>
                <w:rFonts w:cs="Calibri" w:cstheme="minorHAnsi"/>
                <w:b/>
                <w:bCs/>
                <w:sz w:val="20"/>
                <w:szCs w:val="20"/>
              </w:rPr>
              <w:t>Section 30242. Lands suitable for agricultural use; conversion</w:t>
            </w:r>
          </w:p>
          <w:p>
            <w:pPr>
              <w:pStyle w:val="Normal"/>
              <w:spacing w:lineRule="auto" w:line="240" w:before="0" w:after="0"/>
              <w:rPr>
                <w:rFonts w:cs="Calibri" w:cstheme="minorHAnsi"/>
                <w:sz w:val="20"/>
                <w:szCs w:val="20"/>
              </w:rPr>
            </w:pPr>
            <w:r>
              <w:rPr>
                <w:rFonts w:cs="Calibri" w:cstheme="minorHAnsi"/>
                <w:bCs/>
                <w:sz w:val="20"/>
                <w:szCs w:val="20"/>
              </w:rPr>
              <w:t xml:space="preserve">All other </w:t>
            </w:r>
            <w:r>
              <w:rPr>
                <w:rFonts w:cs="Calibri" w:cstheme="minorHAnsi"/>
                <w:b/>
                <w:bCs/>
                <w:i/>
                <w:sz w:val="20"/>
                <w:szCs w:val="20"/>
              </w:rPr>
              <w:t>lands suitable for agricultural use</w:t>
            </w:r>
            <w:r>
              <w:rPr>
                <w:rFonts w:cs="Calibri" w:cstheme="minorHAnsi"/>
                <w:bCs/>
                <w:sz w:val="20"/>
                <w:szCs w:val="20"/>
              </w:rPr>
              <w:t xml:space="preserve"> shall not be converted to nonagricultural uses</w:t>
            </w:r>
          </w:p>
        </w:tc>
        <w:tc>
          <w:tcPr>
            <w:tcW w:w="4410" w:type="dxa"/>
            <w:tcBorders/>
            <w:shd w:fill="auto" w:val="clear"/>
          </w:tcPr>
          <w:p>
            <w:pPr>
              <w:pStyle w:val="Normal"/>
              <w:spacing w:lineRule="auto" w:line="240" w:before="0" w:after="0"/>
              <w:rPr>
                <w:rFonts w:cs="Calibri" w:cstheme="minorHAnsi"/>
                <w:sz w:val="20"/>
                <w:szCs w:val="20"/>
              </w:rPr>
            </w:pPr>
            <w:r>
              <w:rPr>
                <w:rFonts w:cs="Calibri" w:cstheme="minorHAnsi"/>
                <w:b/>
                <w:sz w:val="20"/>
                <w:szCs w:val="20"/>
              </w:rPr>
              <w:t>CONFLICT</w:t>
            </w:r>
            <w:r>
              <w:rPr>
                <w:rFonts w:cs="Calibri" w:cstheme="minorHAnsi"/>
                <w:sz w:val="20"/>
                <w:szCs w:val="20"/>
              </w:rPr>
              <w:t>: Residential—both horizontal and vertical--development would require placement of pad fill (flood protection; 100 yr floodplain) and drainage) precluding agriculture physically and by land use conflict</w:t>
            </w:r>
          </w:p>
        </w:tc>
      </w:tr>
      <w:tr>
        <w:trPr/>
        <w:tc>
          <w:tcPr>
            <w:tcW w:w="4854" w:type="dxa"/>
            <w:tcBorders/>
            <w:shd w:fill="auto" w:val="clear"/>
          </w:tcPr>
          <w:p>
            <w:pPr>
              <w:pStyle w:val="Normal"/>
              <w:spacing w:lineRule="auto" w:line="240" w:before="0" w:after="0"/>
              <w:rPr>
                <w:rFonts w:cs="Calibri" w:cstheme="minorHAnsi"/>
                <w:b/>
                <w:b/>
                <w:sz w:val="20"/>
                <w:szCs w:val="20"/>
              </w:rPr>
            </w:pPr>
            <w:r>
              <w:rPr>
                <w:rFonts w:cs="Calibri" w:cstheme="minorHAnsi"/>
                <w:b/>
                <w:sz w:val="20"/>
                <w:szCs w:val="20"/>
              </w:rPr>
              <w:t>Section 30251 Scenic and visual qualities</w:t>
            </w:r>
          </w:p>
          <w:p>
            <w:pPr>
              <w:pStyle w:val="Normal"/>
              <w:spacing w:lineRule="auto" w:line="240" w:before="0" w:after="0"/>
              <w:rPr>
                <w:rFonts w:cs="Calibri" w:cstheme="minorHAnsi"/>
                <w:sz w:val="20"/>
                <w:szCs w:val="20"/>
              </w:rPr>
            </w:pPr>
            <w:r>
              <w:rPr>
                <w:rFonts w:cs="Calibri" w:cstheme="minorHAnsi"/>
                <w:b/>
                <w:sz w:val="20"/>
                <w:szCs w:val="20"/>
              </w:rPr>
              <w:t xml:space="preserve">The </w:t>
            </w:r>
            <w:r>
              <w:rPr>
                <w:rFonts w:cs="Calibri" w:cstheme="minorHAnsi"/>
                <w:b/>
                <w:i/>
                <w:sz w:val="20"/>
                <w:szCs w:val="20"/>
              </w:rPr>
              <w:t>scenic and visual qualities of coastal areas shall be considered and protected</w:t>
            </w:r>
            <w:r>
              <w:rPr>
                <w:rFonts w:cs="Calibri" w:cstheme="minorHAnsi"/>
                <w:b/>
                <w:sz w:val="20"/>
                <w:szCs w:val="20"/>
              </w:rPr>
              <w:t xml:space="preserve"> as a resource of public importance. </w:t>
            </w:r>
            <w:r>
              <w:rPr>
                <w:rFonts w:cs="Calibri" w:cstheme="minorHAnsi"/>
                <w:sz w:val="20"/>
                <w:szCs w:val="20"/>
              </w:rPr>
              <w:t xml:space="preserve">Permitted development shall be sited and designed to protect views to and along the ocean and scenic coastal areas, to </w:t>
            </w:r>
            <w:r>
              <w:rPr>
                <w:rFonts w:cs="Calibri" w:cstheme="minorHAnsi"/>
                <w:i/>
                <w:sz w:val="20"/>
                <w:szCs w:val="20"/>
              </w:rPr>
              <w:t>minimize the alteration of natural land forms</w:t>
            </w:r>
            <w:r>
              <w:rPr>
                <w:rFonts w:cs="Calibri" w:cstheme="minorHAnsi"/>
                <w:sz w:val="20"/>
                <w:szCs w:val="20"/>
              </w:rPr>
              <w:t xml:space="preserve">, to be </w:t>
            </w:r>
            <w:r>
              <w:rPr>
                <w:rFonts w:cs="Calibri" w:cstheme="minorHAnsi"/>
                <w:i/>
                <w:sz w:val="20"/>
                <w:szCs w:val="20"/>
              </w:rPr>
              <w:t>visually compatible with the character of surrounding areas</w:t>
            </w:r>
            <w:r>
              <w:rPr>
                <w:rFonts w:cs="Calibri" w:cstheme="minorHAnsi"/>
                <w:sz w:val="20"/>
                <w:szCs w:val="20"/>
              </w:rPr>
              <w:t>…</w:t>
            </w:r>
          </w:p>
        </w:tc>
        <w:tc>
          <w:tcPr>
            <w:tcW w:w="4410" w:type="dxa"/>
            <w:tcBorders/>
            <w:shd w:fill="auto" w:val="clear"/>
          </w:tcPr>
          <w:p>
            <w:pPr>
              <w:pStyle w:val="Normal"/>
              <w:spacing w:lineRule="auto" w:line="240" w:before="0" w:after="0"/>
              <w:rPr>
                <w:rFonts w:cs="Calibri" w:cstheme="minorHAnsi"/>
                <w:sz w:val="20"/>
                <w:szCs w:val="20"/>
              </w:rPr>
            </w:pPr>
            <w:r>
              <w:rPr>
                <w:rFonts w:cs="Calibri" w:cstheme="minorHAnsi"/>
                <w:b/>
                <w:sz w:val="20"/>
                <w:szCs w:val="20"/>
              </w:rPr>
              <w:t>CONFLICT</w:t>
            </w:r>
            <w:r>
              <w:rPr>
                <w:rFonts w:cs="Calibri" w:cstheme="minorHAnsi"/>
                <w:sz w:val="20"/>
                <w:szCs w:val="20"/>
              </w:rPr>
              <w:t xml:space="preserve">: Residential development would infill the last open space in coastal lowlands from Linda Mar to Pedro Point. </w:t>
            </w:r>
          </w:p>
          <w:p>
            <w:pPr>
              <w:pStyle w:val="Normal"/>
              <w:spacing w:lineRule="auto" w:line="240" w:before="0" w:after="0"/>
              <w:rPr>
                <w:rFonts w:cs="Calibri" w:cstheme="minorHAnsi"/>
                <w:sz w:val="20"/>
                <w:szCs w:val="20"/>
              </w:rPr>
            </w:pPr>
            <w:r>
              <w:rPr>
                <w:rFonts w:cs="Calibri" w:cstheme="minorHAnsi"/>
                <w:sz w:val="20"/>
                <w:szCs w:val="20"/>
              </w:rPr>
              <w:t>Vertical Development would greatly obstruct existing views and enjoyment of the ocean.</w:t>
            </w:r>
          </w:p>
        </w:tc>
      </w:tr>
      <w:tr>
        <w:trPr/>
        <w:tc>
          <w:tcPr>
            <w:tcW w:w="4854" w:type="dxa"/>
            <w:tcBorders/>
            <w:shd w:fill="auto" w:val="clear"/>
          </w:tcPr>
          <w:p>
            <w:pPr>
              <w:pStyle w:val="Normal"/>
              <w:spacing w:lineRule="auto" w:line="240" w:before="0" w:after="0"/>
              <w:rPr>
                <w:rFonts w:cs="Calibri" w:cstheme="minorHAnsi"/>
                <w:bCs/>
                <w:sz w:val="20"/>
                <w:szCs w:val="20"/>
              </w:rPr>
            </w:pPr>
            <w:r>
              <w:rPr>
                <w:rFonts w:cs="Calibri" w:cstheme="minorHAnsi"/>
                <w:b/>
                <w:bCs/>
                <w:sz w:val="20"/>
                <w:szCs w:val="20"/>
              </w:rPr>
              <w:t>Section 30253 Minimization of adverse impacts</w:t>
            </w:r>
          </w:p>
          <w:p>
            <w:pPr>
              <w:pStyle w:val="Normal"/>
              <w:spacing w:lineRule="auto" w:line="240" w:before="0" w:after="0"/>
              <w:rPr>
                <w:rFonts w:cs="Calibri" w:cstheme="minorHAnsi"/>
                <w:bCs/>
                <w:sz w:val="20"/>
                <w:szCs w:val="20"/>
              </w:rPr>
            </w:pPr>
            <w:r>
              <w:rPr>
                <w:rFonts w:cs="Calibri" w:cstheme="minorHAnsi"/>
                <w:bCs/>
                <w:sz w:val="20"/>
                <w:szCs w:val="20"/>
              </w:rPr>
              <w:t>New development shall do all of the following:</w:t>
            </w:r>
          </w:p>
          <w:p>
            <w:pPr>
              <w:pStyle w:val="Normal"/>
              <w:spacing w:lineRule="auto" w:line="240" w:before="0" w:after="0"/>
              <w:rPr>
                <w:rFonts w:cs="Calibri" w:cstheme="minorHAnsi"/>
                <w:bCs/>
                <w:sz w:val="20"/>
                <w:szCs w:val="20"/>
              </w:rPr>
            </w:pPr>
            <w:r>
              <w:rPr>
                <w:rFonts w:cs="Calibri" w:cstheme="minorHAnsi"/>
                <w:bCs/>
                <w:sz w:val="20"/>
                <w:szCs w:val="20"/>
              </w:rPr>
              <w:t xml:space="preserve">(a) </w:t>
            </w:r>
            <w:r>
              <w:rPr>
                <w:rFonts w:cs="Calibri" w:cstheme="minorHAnsi"/>
                <w:b/>
                <w:bCs/>
                <w:sz w:val="20"/>
                <w:szCs w:val="20"/>
              </w:rPr>
              <w:t>Minimize risks to life and property in areas of high geologic, flood, and fire hazard</w:t>
            </w:r>
            <w:r>
              <w:rPr>
                <w:rFonts w:cs="Calibri" w:cstheme="minorHAnsi"/>
                <w:bCs/>
                <w:sz w:val="20"/>
                <w:szCs w:val="20"/>
              </w:rPr>
              <w:t>.</w:t>
            </w:r>
          </w:p>
          <w:p>
            <w:pPr>
              <w:pStyle w:val="Normal"/>
              <w:spacing w:lineRule="auto" w:line="240" w:before="0" w:after="0"/>
              <w:rPr>
                <w:rFonts w:cs="Calibri" w:cstheme="minorHAnsi"/>
                <w:bCs/>
                <w:sz w:val="20"/>
                <w:szCs w:val="20"/>
              </w:rPr>
            </w:pPr>
            <w:r>
              <w:rPr>
                <w:rFonts w:cs="Calibri" w:cstheme="minorHAnsi"/>
                <w:bCs/>
                <w:sz w:val="20"/>
                <w:szCs w:val="20"/>
              </w:rPr>
              <w:t xml:space="preserve">(b) Assure stability and structural integrity, and </w:t>
            </w:r>
            <w:r>
              <w:rPr>
                <w:rFonts w:cs="Calibri" w:cstheme="minorHAnsi"/>
                <w:b/>
                <w:bCs/>
                <w:sz w:val="20"/>
                <w:szCs w:val="20"/>
              </w:rPr>
              <w:t>neither create nor contribute significantly to erosion, geologic instability,</w:t>
            </w:r>
            <w:r>
              <w:rPr>
                <w:rFonts w:cs="Calibri" w:cstheme="minorHAnsi"/>
                <w:bCs/>
                <w:sz w:val="20"/>
                <w:szCs w:val="20"/>
              </w:rPr>
              <w:t xml:space="preserve"> or destruction of the site or surrounding area or in any way </w:t>
            </w:r>
            <w:r>
              <w:rPr>
                <w:rFonts w:cs="Calibri" w:cstheme="minorHAnsi"/>
                <w:b/>
                <w:bCs/>
                <w:sz w:val="20"/>
                <w:szCs w:val="20"/>
              </w:rPr>
              <w:t>require the construction of protective devices that would substantially alter natural landforms along bluffs and cliffs</w:t>
            </w:r>
            <w:r>
              <w:rPr>
                <w:rFonts w:cs="Calibri" w:cstheme="minorHAnsi"/>
                <w:bCs/>
                <w:sz w:val="20"/>
                <w:szCs w:val="20"/>
              </w:rPr>
              <w:t>. […]</w:t>
            </w:r>
          </w:p>
          <w:p>
            <w:pPr>
              <w:pStyle w:val="Normal"/>
              <w:spacing w:lineRule="auto" w:line="240" w:before="0" w:after="0"/>
              <w:rPr>
                <w:rFonts w:cs="Calibri" w:cstheme="minorHAnsi"/>
                <w:sz w:val="20"/>
                <w:szCs w:val="20"/>
              </w:rPr>
            </w:pPr>
            <w:r>
              <w:rPr>
                <w:rFonts w:cs="Calibri" w:cstheme="minorHAnsi"/>
                <w:sz w:val="20"/>
                <w:szCs w:val="20"/>
              </w:rPr>
            </w:r>
          </w:p>
        </w:tc>
        <w:tc>
          <w:tcPr>
            <w:tcW w:w="4410" w:type="dxa"/>
            <w:tcBorders/>
            <w:shd w:fill="auto" w:val="clear"/>
          </w:tcPr>
          <w:p>
            <w:pPr>
              <w:pStyle w:val="Normal"/>
              <w:spacing w:lineRule="auto" w:line="240" w:before="0" w:after="0"/>
              <w:rPr>
                <w:rFonts w:cs="Calibri" w:cstheme="minorHAnsi"/>
                <w:bCs/>
                <w:sz w:val="20"/>
                <w:szCs w:val="20"/>
              </w:rPr>
            </w:pPr>
            <w:r>
              <w:rPr>
                <w:rFonts w:cs="Calibri" w:cstheme="minorHAnsi"/>
                <w:b/>
                <w:bCs/>
                <w:sz w:val="20"/>
                <w:szCs w:val="20"/>
              </w:rPr>
              <w:t>CONFLICT</w:t>
            </w:r>
            <w:r>
              <w:rPr>
                <w:rFonts w:cs="Calibri" w:cstheme="minorHAnsi"/>
                <w:bCs/>
                <w:sz w:val="20"/>
                <w:szCs w:val="20"/>
              </w:rPr>
              <w:t xml:space="preserve">. Most of field lies approximately 15-17 feet in elevation above Mean Sea Level (MSL), only about 3-5 feet above the marsh and high tide beach at the mouth of San Pedro Creek. Residential development requires flood protection and drainage. </w:t>
            </w:r>
          </w:p>
          <w:p>
            <w:pPr>
              <w:pStyle w:val="Normal"/>
              <w:spacing w:lineRule="auto" w:line="240" w:before="0" w:after="0"/>
              <w:rPr>
                <w:rFonts w:cs="Calibri" w:cstheme="minorHAnsi"/>
                <w:bCs/>
                <w:sz w:val="20"/>
                <w:szCs w:val="20"/>
              </w:rPr>
            </w:pPr>
            <w:r>
              <w:rPr>
                <w:rFonts w:cs="Calibri" w:cstheme="minorHAnsi"/>
                <w:bCs/>
                <w:sz w:val="20"/>
                <w:szCs w:val="20"/>
              </w:rPr>
              <w:t xml:space="preserve">Wave runup to the field depends on the non-engineered privately owned berm which is not maintained by Pacifica. Residential development would require armored flood protection structures as sea level rises. </w:t>
            </w:r>
          </w:p>
          <w:p>
            <w:pPr>
              <w:pStyle w:val="Normal"/>
              <w:spacing w:lineRule="auto" w:line="240" w:before="0" w:after="0"/>
              <w:rPr>
                <w:rFonts w:cs="Calibri" w:cstheme="minorHAnsi"/>
                <w:sz w:val="20"/>
                <w:szCs w:val="20"/>
              </w:rPr>
            </w:pPr>
            <w:r>
              <w:rPr>
                <w:rFonts w:cs="Calibri" w:cstheme="minorHAnsi"/>
                <w:bCs/>
                <w:sz w:val="20"/>
                <w:szCs w:val="20"/>
              </w:rPr>
              <w:t>Alluvial soils (historical wetland) of the field have the same relative liquefaction (earthquake shaking) potential as diked bay muds and marshes in San Francisco Bay, and are located in a Tsunami Evacuation Zone.</w:t>
            </w:r>
          </w:p>
        </w:tc>
      </w:tr>
      <w:tr>
        <w:trPr/>
        <w:tc>
          <w:tcPr>
            <w:tcW w:w="4854" w:type="dxa"/>
            <w:tcBorders/>
            <w:shd w:fill="auto" w:val="clear"/>
          </w:tcPr>
          <w:p>
            <w:pPr>
              <w:pStyle w:val="Normal"/>
              <w:spacing w:lineRule="auto" w:line="240" w:before="0" w:after="0"/>
              <w:rPr>
                <w:rFonts w:cs="Calibri" w:cstheme="minorHAnsi"/>
                <w:b/>
                <w:b/>
                <w:sz w:val="20"/>
                <w:szCs w:val="20"/>
              </w:rPr>
            </w:pPr>
            <w:r>
              <w:rPr>
                <w:rFonts w:cs="Calibri" w:cstheme="minorHAnsi"/>
                <w:b/>
                <w:sz w:val="20"/>
                <w:szCs w:val="20"/>
              </w:rPr>
              <w:t>Section 30255 Priority of coastal-dependent developments</w:t>
            </w:r>
          </w:p>
          <w:p>
            <w:pPr>
              <w:pStyle w:val="Normal"/>
              <w:spacing w:lineRule="auto" w:line="240" w:before="0" w:after="0"/>
              <w:rPr>
                <w:rFonts w:cs="Calibri" w:cstheme="minorHAnsi"/>
                <w:sz w:val="20"/>
                <w:szCs w:val="20"/>
              </w:rPr>
            </w:pPr>
            <w:r>
              <w:rPr>
                <w:rFonts w:cs="Calibri" w:cstheme="minorHAnsi"/>
                <w:b/>
                <w:i/>
                <w:sz w:val="20"/>
                <w:szCs w:val="20"/>
              </w:rPr>
              <w:t>Coastal-dependent developments shall have priority over other developments</w:t>
            </w:r>
            <w:r>
              <w:rPr>
                <w:rFonts w:cs="Calibri" w:cstheme="minorHAnsi"/>
                <w:i/>
                <w:sz w:val="20"/>
                <w:szCs w:val="20"/>
              </w:rPr>
              <w:t xml:space="preserve"> on or near the shoreline</w:t>
            </w:r>
            <w:r>
              <w:rPr>
                <w:rFonts w:cs="Calibri" w:cstheme="minorHAnsi"/>
                <w:sz w:val="20"/>
                <w:szCs w:val="20"/>
              </w:rPr>
              <w:t xml:space="preserve">. Except as provided elsewhere in this division, </w:t>
            </w:r>
            <w:r>
              <w:rPr>
                <w:rFonts w:cs="Calibri" w:cstheme="minorHAnsi"/>
                <w:b/>
                <w:i/>
                <w:sz w:val="20"/>
                <w:szCs w:val="20"/>
              </w:rPr>
              <w:t>coastal-dependent developments shall not be sited in a wetland</w:t>
            </w:r>
            <w:r>
              <w:rPr>
                <w:rFonts w:cs="Calibri" w:cstheme="minorHAnsi"/>
                <w:i/>
                <w:sz w:val="20"/>
                <w:szCs w:val="20"/>
              </w:rPr>
              <w:t>.</w:t>
            </w:r>
            <w:r>
              <w:rPr>
                <w:rFonts w:cs="Calibri" w:cstheme="minorHAnsi"/>
                <w:sz w:val="20"/>
                <w:szCs w:val="20"/>
              </w:rPr>
              <w:t xml:space="preserve"> When appropriate, coastal-related developments should be accommodated within reasonable proximity to the coastal-dependent uses they support.</w:t>
            </w:r>
          </w:p>
          <w:p>
            <w:pPr>
              <w:pStyle w:val="Normal"/>
              <w:spacing w:lineRule="auto" w:line="240" w:before="0" w:after="0"/>
              <w:rPr>
                <w:rFonts w:cs="Calibri" w:cstheme="minorHAnsi"/>
                <w:sz w:val="20"/>
                <w:szCs w:val="20"/>
              </w:rPr>
            </w:pPr>
            <w:r>
              <w:rPr>
                <w:rFonts w:cs="Calibri" w:cstheme="minorHAnsi"/>
                <w:sz w:val="20"/>
                <w:szCs w:val="20"/>
              </w:rPr>
            </w:r>
          </w:p>
        </w:tc>
        <w:tc>
          <w:tcPr>
            <w:tcW w:w="4410" w:type="dxa"/>
            <w:tcBorders/>
            <w:shd w:fill="auto" w:val="clear"/>
          </w:tcPr>
          <w:p>
            <w:pPr>
              <w:pStyle w:val="Normal"/>
              <w:spacing w:lineRule="auto" w:line="240" w:before="0" w:after="0"/>
              <w:rPr>
                <w:rFonts w:cs="Calibri" w:cstheme="minorHAnsi"/>
                <w:sz w:val="20"/>
                <w:szCs w:val="20"/>
              </w:rPr>
            </w:pPr>
            <w:r>
              <w:rPr>
                <w:rFonts w:cs="Calibri" w:cstheme="minorHAnsi"/>
                <w:b/>
                <w:sz w:val="20"/>
                <w:szCs w:val="20"/>
              </w:rPr>
              <w:t>FULL CONFLICT</w:t>
            </w:r>
            <w:r>
              <w:rPr>
                <w:rFonts w:cs="Calibri" w:cstheme="minorHAnsi"/>
                <w:sz w:val="20"/>
                <w:szCs w:val="20"/>
              </w:rPr>
              <w:t xml:space="preserve">. Residential development is not coastal-dependent, and would infill the seasonal wetlands in the lowland floodplain of the field. </w:t>
            </w:r>
          </w:p>
        </w:tc>
      </w:tr>
      <w:tr>
        <w:trPr/>
        <w:tc>
          <w:tcPr>
            <w:tcW w:w="4854" w:type="dxa"/>
            <w:tcBorders/>
            <w:shd w:fill="auto" w:val="clear"/>
          </w:tcPr>
          <w:p>
            <w:pPr>
              <w:pStyle w:val="Normal"/>
              <w:spacing w:lineRule="auto" w:line="240" w:before="0" w:after="0"/>
              <w:rPr>
                <w:rFonts w:cs="Calibri" w:cstheme="minorHAnsi"/>
                <w:b/>
                <w:b/>
                <w:sz w:val="20"/>
                <w:szCs w:val="20"/>
              </w:rPr>
            </w:pPr>
            <w:r>
              <w:rPr>
                <w:rFonts w:cs="Calibri" w:cstheme="minorHAnsi"/>
                <w:b/>
                <w:sz w:val="20"/>
                <w:szCs w:val="20"/>
              </w:rPr>
              <w:t>Environmental Justice</w:t>
            </w:r>
          </w:p>
          <w:p>
            <w:pPr>
              <w:pStyle w:val="Normal"/>
              <w:spacing w:lineRule="auto" w:line="240" w:before="0" w:after="0"/>
              <w:rPr>
                <w:rFonts w:cs="Calibri" w:cstheme="minorHAnsi"/>
                <w:b/>
                <w:b/>
                <w:sz w:val="20"/>
                <w:szCs w:val="20"/>
              </w:rPr>
            </w:pPr>
            <w:r>
              <w:rPr/>
              <w:t>Equitable coastal access is encompassed in and protected by the public access policies in Chapter 3 of the Coastal Act. The Coastal Act’s mandates to provide maximum access and recreational opportunities for all, and to protect, encourage, and provide lower-cost visitor and recreational opportunities embody fundamental principles of environmental justice.</w:t>
            </w:r>
          </w:p>
        </w:tc>
        <w:tc>
          <w:tcPr>
            <w:tcW w:w="4410" w:type="dxa"/>
            <w:tcBorders/>
            <w:shd w:fill="auto" w:val="clear"/>
          </w:tcPr>
          <w:p>
            <w:pPr>
              <w:pStyle w:val="Normal"/>
              <w:spacing w:lineRule="auto" w:line="240" w:before="0" w:after="0"/>
              <w:rPr>
                <w:color w:val="000000" w:themeColor="text1"/>
              </w:rPr>
            </w:pPr>
            <w:r>
              <w:rPr>
                <w:color w:val="000000" w:themeColor="text1"/>
              </w:rPr>
              <w:t xml:space="preserve">CONFLICT: </w:t>
            </w:r>
          </w:p>
          <w:p>
            <w:pPr>
              <w:pStyle w:val="Normal"/>
              <w:spacing w:lineRule="auto" w:line="240" w:before="0" w:after="0"/>
              <w:rPr>
                <w:color w:val="000000" w:themeColor="text1"/>
                <w:highlight w:val="white"/>
              </w:rPr>
            </w:pPr>
            <w:r>
              <w:rPr>
                <w:color w:val="000000" w:themeColor="text1"/>
                <w:shd w:fill="FFFFFF" w:val="clear"/>
              </w:rPr>
              <w:t>“</w:t>
            </w:r>
            <w:r>
              <w:rPr>
                <w:color w:val="000000" w:themeColor="text1"/>
                <w:shd w:fill="FFFFFF" w:val="clear"/>
              </w:rPr>
              <w:t>Pacifica is home to some of the San Francisco Bay area’s best surfing beaches. Linda Mar State Beach is one of the most popular beginner surfing spots in the San Francisco area”</w:t>
            </w:r>
            <w:r>
              <w:rPr>
                <w:rStyle w:val="FootnoteAnchor"/>
                <w:rFonts w:cs="Calibri" w:cstheme="minorHAnsi"/>
                <w:color w:val="000000" w:themeColor="text1"/>
                <w:sz w:val="20"/>
                <w:szCs w:val="20"/>
                <w:shd w:fill="FFFFFF" w:val="clear"/>
              </w:rPr>
              <w:footnoteReference w:id="5"/>
            </w:r>
            <w:r>
              <w:rPr>
                <w:color w:val="000000" w:themeColor="text1"/>
                <w:shd w:fill="FFFFFF" w:val="clear"/>
              </w:rPr>
              <w:t xml:space="preserve">  This is also the premier family-friendly break within a short distance from the San Francisco Bay Area.  </w:t>
            </w:r>
          </w:p>
          <w:p>
            <w:pPr>
              <w:pStyle w:val="Normal"/>
              <w:spacing w:lineRule="auto" w:line="240" w:before="0" w:after="0"/>
              <w:rPr>
                <w:rFonts w:ascii="Garamond" w:hAnsi="Garamond" w:cs="Garamond"/>
                <w:color w:val="000000" w:themeColor="text1"/>
              </w:rPr>
            </w:pPr>
            <w:r>
              <w:rPr>
                <w:rFonts w:cs="Garamond-Bold" w:ascii="Garamond-Bold" w:hAnsi="Garamond-Bold"/>
                <w:color w:val="000000" w:themeColor="text1"/>
              </w:rPr>
              <w:t xml:space="preserve">We also recommend that LD I-6 be amended to include: LD-I-6 Oceanfront Land for Recreational Use. </w:t>
            </w:r>
            <w:r>
              <w:rPr>
                <w:rFonts w:cs="Garamond" w:ascii="Garamond" w:hAnsi="Garamond"/>
                <w:color w:val="000000" w:themeColor="text1"/>
              </w:rPr>
              <w:t xml:space="preserve">Prioritize use of land adjacent to </w:t>
            </w:r>
            <w:r>
              <w:rPr>
                <w:rFonts w:cs="Garamond" w:ascii="Garamond" w:hAnsi="Garamond"/>
                <w:b/>
                <w:bCs/>
                <w:i/>
                <w:iCs/>
                <w:color w:val="000000" w:themeColor="text1"/>
              </w:rPr>
              <w:t xml:space="preserve">or within the immediate vicinity of </w:t>
            </w:r>
            <w:r>
              <w:rPr>
                <w:rFonts w:cs="Garamond" w:ascii="Garamond" w:hAnsi="Garamond"/>
                <w:color w:val="000000" w:themeColor="text1"/>
              </w:rPr>
              <w:t xml:space="preserve"> Sharp Park and Pacifica State Beach for low-intensity recreational use. Allowable uses should include those with a low development impact and which are readily relocated to adapt to evolving coastal conditions, such as recreation outfitters, campgrounds, rustic lodging, hikers’ huts, or</w:t>
            </w:r>
          </w:p>
          <w:p>
            <w:pPr>
              <w:pStyle w:val="Normal"/>
              <w:spacing w:lineRule="auto" w:line="240" w:before="0" w:after="0"/>
              <w:rPr>
                <w:color w:val="000000" w:themeColor="text1"/>
              </w:rPr>
            </w:pPr>
            <w:r>
              <w:rPr>
                <w:rFonts w:cs="Garamond" w:ascii="Garamond" w:hAnsi="Garamond"/>
                <w:color w:val="000000" w:themeColor="text1"/>
              </w:rPr>
              <w:t>view restaurants.</w:t>
            </w:r>
          </w:p>
          <w:p>
            <w:pPr>
              <w:pStyle w:val="Normal"/>
              <w:spacing w:lineRule="auto" w:line="240" w:before="0" w:after="0"/>
              <w:rPr>
                <w:color w:val="000000" w:themeColor="text1"/>
              </w:rPr>
            </w:pPr>
            <w:r>
              <w:rPr>
                <w:color w:val="000000" w:themeColor="text1"/>
              </w:rPr>
            </w:r>
          </w:p>
        </w:tc>
      </w:tr>
    </w:tbl>
    <w:p>
      <w:pPr>
        <w:pStyle w:val="Normal"/>
        <w:rPr/>
      </w:pPr>
      <w:r>
        <w:rPr/>
      </w:r>
    </w:p>
    <w:p>
      <w:pPr>
        <w:pStyle w:val="Normal"/>
        <w:rPr/>
      </w:pPr>
      <w:r>
        <w:rPr/>
        <w:t>I implore you to reject the Planning Commission’s proposed Land Use Designation Change in favor of the Low-Intensity Visitor-Serving Commercial Designation, which more accurately reflects the land use designation and conditions.</w:t>
      </w:r>
    </w:p>
    <w:p>
      <w:pPr>
        <w:pStyle w:val="Normal"/>
        <w:ind w:left="720" w:hanging="0"/>
        <w:rPr>
          <w:rFonts w:ascii="Garamond" w:hAnsi="Garamond"/>
        </w:rPr>
      </w:pPr>
      <w:r>
        <w:rPr>
          <w:rFonts w:ascii="Garamond" w:hAnsi="Garamond"/>
        </w:rPr>
        <w:t>LOW-INTENSITY VISITOR-SERVING COMMERCIAL</w:t>
      </w:r>
    </w:p>
    <w:p>
      <w:pPr>
        <w:pStyle w:val="Normal"/>
        <w:ind w:left="720" w:hanging="0"/>
        <w:rPr>
          <w:rFonts w:ascii="Garamond" w:hAnsi="Garamond"/>
        </w:rPr>
      </w:pPr>
      <w:r>
        <w:rPr>
          <w:rFonts w:ascii="Garamond" w:hAnsi="Garamond"/>
        </w:rPr>
        <w:t xml:space="preserve">The Low-Intensity Visitor-Serving Commercial (LIVC) district allows uses that create </w:t>
      </w:r>
      <w:r>
        <w:rPr>
          <w:rFonts w:ascii="Garamond" w:hAnsi="Garamond"/>
          <w:b/>
          <w:bCs/>
          <w:color w:val="385623" w:themeColor="accent6" w:themeShade="80"/>
        </w:rPr>
        <w:t>or maintain</w:t>
      </w:r>
      <w:r>
        <w:rPr>
          <w:rFonts w:ascii="Garamond" w:hAnsi="Garamond"/>
          <w:color w:val="385623" w:themeColor="accent6" w:themeShade="80"/>
        </w:rPr>
        <w:t xml:space="preserve"> </w:t>
      </w:r>
      <w:r>
        <w:rPr>
          <w:rFonts w:ascii="Garamond" w:hAnsi="Garamond"/>
        </w:rPr>
        <w:t xml:space="preserve">public access to the coastal setting and are adaptable to changing environmental conditions: campgrounds, rustic lodging, concession stands, warming huts, outdoor event sites, and similar uses. Existing permitted businesses that do not conform to the description of LIVC may remain until voluntarily redeveloped by the property owner or abandonment of the use has occurred pursuant to the nonconforming use zoning provisions of the Pacifica Municipal Code (cessation of the use for 12 months, under current zoning provisions). In these areas, the designation indicates the long-term goal of transition to recreation-oriented land uses. Development may occur at up to 0.20 FAR, but must have an overall very low-intensity character on sites of more than one acre.  </w:t>
      </w:r>
    </w:p>
    <w:p>
      <w:pPr>
        <w:pStyle w:val="Heading1"/>
        <w:rPr>
          <w:rFonts w:ascii="Calibri" w:hAnsi="Calibri" w:asciiTheme="minorHAnsi" w:hAnsiTheme="minorHAnsi"/>
        </w:rPr>
      </w:pPr>
      <w:r>
        <w:rPr>
          <w:rFonts w:ascii="Calibri" w:hAnsi="Calibri" w:asciiTheme="minorHAnsi" w:hAnsiTheme="minorHAnsi"/>
        </w:rPr>
        <w:t>Section 30006</w:t>
      </w:r>
      <w:r>
        <w:rPr/>
        <w:t>: Public Participation</w:t>
      </w:r>
      <w:r>
        <w:rPr>
          <w:rFonts w:ascii="Calibri" w:hAnsi="Calibri" w:asciiTheme="minorHAnsi" w:hAnsiTheme="minorHAnsi"/>
        </w:rPr>
        <w:t xml:space="preserve"> </w:t>
      </w:r>
    </w:p>
    <w:p>
      <w:pPr>
        <w:pStyle w:val="Normal"/>
        <w:rPr/>
      </w:pPr>
      <w:r>
        <w:rPr/>
        <w:t>Section 30006 of the Coastal Act also states that “the public has a right to fully participate in decisions affecting coastal planning, conservation and development; that achievement of sound coastal conservation and development is dependent upon public understanding and support; and that the continuing planning and implementation of programs for coastal conservation and development should include the widest opportunity for public participation.”</w:t>
      </w:r>
    </w:p>
    <w:p>
      <w:pPr>
        <w:pStyle w:val="Normal"/>
        <w:rPr/>
      </w:pPr>
      <w:r>
        <w:rPr/>
        <w:t>The residents of Pedro Point have consistently acted in good faith to work with the City and the Owner to propose a Land Use Designation which considers the unique coastal nature and reflects our concerns over residential development on this lowest-lying parcel in the neighborhood.</w:t>
      </w:r>
    </w:p>
    <w:p>
      <w:pPr>
        <w:pStyle w:val="Normal"/>
        <w:rPr/>
      </w:pPr>
      <w:r>
        <w:rPr/>
        <w:t>Below are letters from past Pedro Point Community Association presidents.  Danny Estrella (2011) expresses the community’s strong support for a land use designation which retains uses of the field as-is.  Bruce Ferry (2013) details the extensive steps the Community has taken to facilitate meaningful dialogue</w:t>
      </w:r>
    </w:p>
    <w:p>
      <w:pPr>
        <w:pStyle w:val="Normal"/>
        <w:rPr/>
      </w:pPr>
      <w:r>
        <w:rPr/>
      </w:r>
    </w:p>
    <w:p>
      <w:pPr>
        <w:pStyle w:val="Caption1"/>
        <w:keepNext w:val="true"/>
        <w:rPr/>
      </w:pPr>
      <w:r>
        <w:rPr/>
        <w:t xml:space="preserve">Figure </w:t>
      </w:r>
      <w:r>
        <w:rPr/>
        <w:fldChar w:fldCharType="begin"/>
      </w:r>
      <w:r>
        <w:rPr/>
        <w:instrText> SEQ Figure \* ARABIC </w:instrText>
      </w:r>
      <w:r>
        <w:rPr/>
        <w:fldChar w:fldCharType="separate"/>
      </w:r>
      <w:r>
        <w:rPr/>
        <w:t>1</w:t>
      </w:r>
      <w:r>
        <w:rPr/>
        <w:fldChar w:fldCharType="end"/>
      </w:r>
      <w:r>
        <w:rPr/>
        <w:t>: Letter from Danny Estrella, PPCA President, 2011</w:t>
      </w:r>
    </w:p>
    <w:p>
      <w:pPr>
        <w:pStyle w:val="Normal"/>
        <w:rPr/>
      </w:pPr>
      <w:r>
        <w:rPr/>
        <mc:AlternateContent>
          <mc:Choice Requires="wps">
            <w:drawing>
              <wp:inline distT="0" distB="0" distL="0" distR="0" wp14:anchorId="19FF541A">
                <wp:extent cx="6125210" cy="7435215"/>
                <wp:effectExtent l="38100" t="38100" r="86360" b="90170"/>
                <wp:docPr id="1" name="Picture 3"/>
                <a:graphic xmlns:a="http://schemas.openxmlformats.org/drawingml/2006/main">
                  <a:graphicData uri="http://schemas.openxmlformats.org/drawingml/2006/picture">
                    <pic:pic xmlns:pic="http://schemas.openxmlformats.org/drawingml/2006/picture">
                      <pic:nvPicPr>
                        <pic:cNvPr id="0" name="Picture 3" descr=""/>
                        <pic:cNvPicPr/>
                      </pic:nvPicPr>
                      <pic:blipFill>
                        <a:blip r:embed="rId3"/>
                        <a:stretch/>
                      </pic:blipFill>
                      <pic:spPr>
                        <a:xfrm>
                          <a:off x="0" y="0"/>
                          <a:ext cx="6124680" cy="743472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style="position:absolute;margin-left:0pt;margin-top:-585.45pt;width:482.2pt;height:585.35pt;mso-position-vertical:top" wp14:anchorId="19FF541A" type="shapetype_75">
                <v:imagedata r:id="rId3" o:detectmouseclick="t"/>
                <w10:wrap type="none"/>
                <v:stroke color="#3465a4" joinstyle="round" endcap="flat"/>
              </v:shape>
            </w:pict>
          </mc:Fallback>
        </mc:AlternateContent>
      </w:r>
    </w:p>
    <w:p>
      <w:pPr>
        <w:pStyle w:val="Normal"/>
        <w:rPr/>
      </w:pPr>
      <w:r>
        <w:rPr/>
        <mc:AlternateContent>
          <mc:Choice Requires="wps">
            <w:drawing>
              <wp:inline distT="0" distB="0" distL="0" distR="0" wp14:anchorId="27E73F64">
                <wp:extent cx="6135370" cy="2611120"/>
                <wp:effectExtent l="38100" t="38100" r="95250" b="94615"/>
                <wp:docPr id="2" name="Picture 4"/>
                <a:graphic xmlns:a="http://schemas.openxmlformats.org/drawingml/2006/main">
                  <a:graphicData uri="http://schemas.openxmlformats.org/drawingml/2006/picture">
                    <pic:pic xmlns:pic="http://schemas.openxmlformats.org/drawingml/2006/picture">
                      <pic:nvPicPr>
                        <pic:cNvPr id="1" name="Picture 4" descr=""/>
                        <pic:cNvPicPr/>
                      </pic:nvPicPr>
                      <pic:blipFill>
                        <a:blip r:embed="rId4"/>
                        <a:stretch/>
                      </pic:blipFill>
                      <pic:spPr>
                        <a:xfrm>
                          <a:off x="0" y="0"/>
                          <a:ext cx="6134760" cy="261036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Picture 4" stroked="f" style="position:absolute;margin-left:0pt;margin-top:-205.6pt;width:483pt;height:205.5pt;mso-position-vertical:top" wp14:anchorId="27E73F64" type="shapetype_75">
                <v:imagedata r:id="rId4" o:detectmouseclick="t"/>
                <w10:wrap type="none"/>
                <v:stroke color="#3465a4" joinstyle="round" endcap="flat"/>
              </v:shape>
            </w:pict>
          </mc:Fallback>
        </mc:AlternateContent>
      </w:r>
    </w:p>
    <w:p>
      <w:pPr>
        <w:pStyle w:val="Caption1"/>
        <w:keepNext w:val="true"/>
        <w:rPr/>
      </w:pPr>
      <w:r>
        <w:rPr/>
        <w:t xml:space="preserve">Figure </w:t>
      </w:r>
      <w:r>
        <w:rPr/>
        <w:fldChar w:fldCharType="begin"/>
      </w:r>
      <w:r>
        <w:rPr/>
        <w:instrText> SEQ Figure \* ARABIC </w:instrText>
      </w:r>
      <w:r>
        <w:rPr/>
        <w:fldChar w:fldCharType="separate"/>
      </w:r>
      <w:r>
        <w:rPr/>
        <w:t>2</w:t>
      </w:r>
      <w:r>
        <w:rPr/>
        <w:fldChar w:fldCharType="end"/>
      </w:r>
      <w:r>
        <w:rPr/>
        <w:t>: Results of Plan Pacifica Meetings in Pedro Point, Summer 2019 show a strong preference for Sustainable Recreational Opportunities Consistent with the Coastal Act, not more housing.</w:t>
      </w:r>
    </w:p>
    <w:p>
      <w:pPr>
        <w:pStyle w:val="Normal"/>
        <w:rPr/>
      </w:pPr>
      <w:r>
        <w:rPr/>
        <w:drawing>
          <wp:inline distT="0" distB="0" distL="0" distR="0">
            <wp:extent cx="5581015" cy="4544060"/>
            <wp:effectExtent l="0" t="0" r="0" b="0"/>
            <wp:docPr id="3"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
                    <pic:cNvPicPr>
                      <a:picLocks noChangeAspect="1" noChangeArrowheads="1"/>
                    </pic:cNvPicPr>
                  </pic:nvPicPr>
                  <pic:blipFill>
                    <a:blip r:embed="rId5"/>
                    <a:srcRect l="642" t="-2750" r="5445" b="4813"/>
                    <a:stretch>
                      <a:fillRect/>
                    </a:stretch>
                  </pic:blipFill>
                  <pic:spPr bwMode="auto">
                    <a:xfrm>
                      <a:off x="0" y="0"/>
                      <a:ext cx="5581015" cy="4544060"/>
                    </a:xfrm>
                    <a:prstGeom prst="rect">
                      <a:avLst/>
                    </a:prstGeom>
                  </pic:spPr>
                </pic:pic>
              </a:graphicData>
            </a:graphic>
          </wp:inline>
        </w:drawing>
      </w:r>
    </w:p>
    <w:p>
      <w:pPr>
        <w:pStyle w:val="Caption1"/>
        <w:keepNext w:val="true"/>
        <w:rPr/>
      </w:pPr>
      <w:r>
        <w:rPr/>
        <w:t xml:space="preserve">Figure </w:t>
      </w:r>
      <w:r>
        <w:rPr/>
        <w:fldChar w:fldCharType="begin"/>
      </w:r>
      <w:r>
        <w:rPr/>
        <w:instrText> SEQ Figure \* ARABIC </w:instrText>
      </w:r>
      <w:r>
        <w:rPr/>
        <w:fldChar w:fldCharType="separate"/>
      </w:r>
      <w:r>
        <w:rPr/>
        <w:t>3</w:t>
      </w:r>
      <w:r>
        <w:rPr/>
        <w:fldChar w:fldCharType="end"/>
      </w:r>
      <w:r>
        <w:rPr/>
        <w:t xml:space="preserve">  Letter of Bruce Ferry, 2013 PPCA President, documenting extensive Community </w:t>
      </w:r>
      <w:r>
        <w:rPr>
          <w14:shadow w14:blurRad="50800" w14:dist="12700" w14:dir="5400000" w14:sx="0" w14:sy="0" w14:kx="0" w14:ky="0" w14:algn="ctr">
            <w14:srgbClr w14:val="000000">
              <w14:alpha w14:val="56863"/>
            </w14:srgbClr>
          </w14:shadow>
        </w:rPr>
        <w:t>Feedback which prioritizes Visitor-serving Commercial Uses over Residential, consistent with the Coastal Act.</w:t>
      </w:r>
    </w:p>
    <w:p>
      <w:pPr>
        <w:pStyle w:val="Normal"/>
        <w:rPr/>
      </w:pPr>
      <w:r>
        <w:rPr/>
        <w:drawing>
          <wp:inline distT="0" distB="0" distL="0" distR="0">
            <wp:extent cx="5369560" cy="7465695"/>
            <wp:effectExtent l="0" t="0" r="0" b="0"/>
            <wp:docPr id="4"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
                    <pic:cNvPicPr>
                      <a:picLocks noChangeAspect="1" noChangeArrowheads="1"/>
                    </pic:cNvPicPr>
                  </pic:nvPicPr>
                  <pic:blipFill>
                    <a:blip r:embed="rId6"/>
                    <a:stretch>
                      <a:fillRect/>
                    </a:stretch>
                  </pic:blipFill>
                  <pic:spPr bwMode="auto">
                    <a:xfrm>
                      <a:off x="0" y="0"/>
                      <a:ext cx="5369560" cy="7465695"/>
                    </a:xfrm>
                    <a:prstGeom prst="rect">
                      <a:avLst/>
                    </a:prstGeom>
                  </pic:spPr>
                </pic:pic>
              </a:graphicData>
            </a:graphic>
          </wp:inline>
        </w:drawing>
      </w:r>
    </w:p>
    <w:p>
      <w:pPr>
        <w:pStyle w:val="Normal"/>
        <w:rPr/>
      </w:pPr>
      <w:r>
        <w:rPr/>
        <w:drawing>
          <wp:inline distT="0" distB="0" distL="0" distR="0">
            <wp:extent cx="6479540" cy="7772400"/>
            <wp:effectExtent l="0" t="0" r="0" b="0"/>
            <wp:docPr id="5"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
                    <pic:cNvPicPr>
                      <a:picLocks noChangeAspect="1" noChangeArrowheads="1"/>
                    </pic:cNvPicPr>
                  </pic:nvPicPr>
                  <pic:blipFill>
                    <a:blip r:embed="rId7"/>
                    <a:stretch>
                      <a:fillRect/>
                    </a:stretch>
                  </pic:blipFill>
                  <pic:spPr bwMode="auto">
                    <a:xfrm>
                      <a:off x="0" y="0"/>
                      <a:ext cx="6479540" cy="7772400"/>
                    </a:xfrm>
                    <a:prstGeom prst="rect">
                      <a:avLst/>
                    </a:prstGeom>
                  </pic:spPr>
                </pic:pic>
              </a:graphicData>
            </a:graphic>
          </wp:inline>
        </w:drawing>
      </w:r>
    </w:p>
    <w:p>
      <w:pPr>
        <w:pStyle w:val="Normal"/>
        <w:rPr/>
      </w:pPr>
      <w:r>
        <w:rPr/>
      </w:r>
    </w:p>
    <w:p>
      <w:pPr>
        <w:pStyle w:val="Normal"/>
        <w:rPr/>
      </w:pPr>
      <w:r>
        <w:rPr/>
        <w:t>Lastly Joanne Gold, current president of PPCA who  as well as hundreds of other neighbors, have filed comments at every critical juncture, reiterating the neighborhood’s strong preference for visitor-serving uses of the Field, consistent with the current conditions, zoning, and law.  This evidence, supported by expert testimony we have hired, continues to fall on deaf ears, bias, and even hostility, as evidenced in this letter from our current Councilmember.</w:t>
      </w:r>
    </w:p>
    <w:p>
      <w:pPr>
        <w:pStyle w:val="Normal"/>
        <w:shd w:val="clear" w:color="auto" w:fill="FFFFFF"/>
        <w:spacing w:before="0" w:after="240"/>
        <w:ind w:left="720" w:hanging="0"/>
        <w:rPr/>
      </w:pPr>
      <w:r>
        <w:rPr>
          <w:rFonts w:cs="Arial" w:ascii="Arial" w:hAnsi="Arial"/>
          <w:b/>
          <w:bCs/>
          <w:color w:val="222222"/>
        </w:rPr>
        <w:t>From:</w:t>
      </w:r>
      <w:r>
        <w:rPr>
          <w:rFonts w:cs="Arial" w:ascii="Arial" w:hAnsi="Arial"/>
          <w:color w:val="222222"/>
        </w:rPr>
        <w:t> "</w:t>
      </w:r>
      <w:r>
        <w:rPr>
          <w:rStyle w:val="Il"/>
          <w:rFonts w:cs="Arial" w:ascii="Arial" w:hAnsi="Arial"/>
          <w:color w:val="222222"/>
        </w:rPr>
        <w:t>Vaterlaus</w:t>
      </w:r>
      <w:r>
        <w:rPr>
          <w:rFonts w:cs="Arial" w:ascii="Arial" w:hAnsi="Arial"/>
          <w:color w:val="222222"/>
        </w:rPr>
        <w:t>, Sue" &lt;</w:t>
      </w:r>
      <w:hyperlink r:id="rId8" w:tgtFrame="_blank">
        <w:r>
          <w:rPr>
            <w:rStyle w:val="InternetLink"/>
            <w:rFonts w:cs="Arial" w:ascii="Arial" w:hAnsi="Arial"/>
            <w:color w:val="1155CC"/>
          </w:rPr>
          <w:t>vaterlauss@ci.pacifica.ca.us</w:t>
        </w:r>
      </w:hyperlink>
      <w:r>
        <w:rPr>
          <w:rFonts w:cs="Arial" w:ascii="Arial" w:hAnsi="Arial"/>
          <w:color w:val="222222"/>
        </w:rPr>
        <w:t>&gt;</w:t>
        <w:br/>
      </w:r>
      <w:r>
        <w:rPr>
          <w:rFonts w:cs="Arial" w:ascii="Arial" w:hAnsi="Arial"/>
          <w:b/>
          <w:bCs/>
          <w:color w:val="222222"/>
        </w:rPr>
        <w:t>Date:</w:t>
      </w:r>
      <w:r>
        <w:rPr>
          <w:rFonts w:cs="Arial" w:ascii="Arial" w:hAnsi="Arial"/>
          <w:color w:val="222222"/>
        </w:rPr>
        <w:t> February 24, 2020 at 9:57:58 AM PST</w:t>
        <w:br/>
      </w:r>
      <w:r>
        <w:rPr>
          <w:rFonts w:cs="Arial" w:ascii="Arial" w:hAnsi="Arial"/>
          <w:b/>
          <w:bCs/>
          <w:color w:val="222222"/>
        </w:rPr>
        <w:t>To:</w:t>
      </w:r>
      <w:r>
        <w:rPr>
          <w:rFonts w:cs="Arial" w:ascii="Arial" w:hAnsi="Arial"/>
          <w:color w:val="222222"/>
        </w:rPr>
        <w:t> Joanne Gold &lt;</w:t>
      </w:r>
      <w:hyperlink r:id="rId9" w:tgtFrame="_blank">
        <w:r>
          <w:rPr>
            <w:rStyle w:val="InternetLink"/>
            <w:rFonts w:cs="Arial" w:ascii="Arial" w:hAnsi="Arial"/>
            <w:color w:val="1155CC"/>
          </w:rPr>
          <w:t>joannegold@yahoo.com</w:t>
        </w:r>
      </w:hyperlink>
      <w:r>
        <w:rPr>
          <w:rFonts w:cs="Arial" w:ascii="Arial" w:hAnsi="Arial"/>
          <w:color w:val="222222"/>
        </w:rPr>
        <w:t>&gt;</w:t>
        <w:br/>
      </w:r>
      <w:r>
        <w:rPr>
          <w:rFonts w:cs="Arial" w:ascii="Arial" w:hAnsi="Arial"/>
          <w:b/>
          <w:bCs/>
          <w:color w:val="222222"/>
        </w:rPr>
        <w:t>Subject:</w:t>
      </w:r>
      <w:r>
        <w:rPr>
          <w:rFonts w:cs="Arial" w:ascii="Arial" w:hAnsi="Arial"/>
          <w:color w:val="222222"/>
        </w:rPr>
        <w:t> </w:t>
      </w:r>
      <w:r>
        <w:rPr>
          <w:rFonts w:cs="Arial" w:ascii="Arial" w:hAnsi="Arial"/>
          <w:b/>
          <w:bCs/>
          <w:color w:val="222222"/>
        </w:rPr>
        <w:t>RE:  Appeal of Planning Commission Decision - 2/24/20 City Council Agenda Item</w:t>
      </w:r>
    </w:p>
    <w:p>
      <w:pPr>
        <w:pStyle w:val="Normal"/>
        <w:shd w:val="clear" w:color="auto" w:fill="FFFFFF"/>
        <w:spacing w:before="0" w:after="0"/>
        <w:ind w:left="720" w:hanging="0"/>
        <w:rPr>
          <w:rFonts w:ascii="Arial" w:hAnsi="Arial" w:cs="Arial"/>
          <w:color w:val="222222"/>
        </w:rPr>
      </w:pPr>
      <w:r>
        <w:rPr>
          <w:rFonts w:ascii="Tahoma" w:hAnsi="Tahoma" w:cs="Tahoma"/>
          <w:color w:val="222222"/>
        </w:rPr>
        <w:t>﻿</w:t>
      </w:r>
      <w:r>
        <w:rPr>
          <w:rFonts w:cs="Arial" w:ascii="Arial" w:hAnsi="Arial"/>
          <w:color w:val="222222"/>
        </w:rPr>
        <w:t>Yes we are charged to represent all Pacificans, not just the residents of Pedro Point who continually use items that are not always accurate to describe the Calson Property. Have you ever heard the term taking?</w:t>
      </w:r>
    </w:p>
    <w:p>
      <w:pPr>
        <w:pStyle w:val="Normal"/>
        <w:shd w:val="clear" w:color="auto" w:fill="FFFFFF"/>
        <w:ind w:left="720" w:hanging="0"/>
        <w:rPr>
          <w:rFonts w:ascii="Arial" w:hAnsi="Arial" w:cs="Arial"/>
          <w:color w:val="222222"/>
        </w:rPr>
      </w:pPr>
      <w:r>
        <w:rPr>
          <w:rFonts w:cs="Arial" w:ascii="Arial" w:hAnsi="Arial"/>
          <w:color w:val="222222"/>
        </w:rPr>
        <w:t>The Calsons want more and you want nothing. These numbers were brought out at a study session with planning and council and it seems like a good compromise to me at this time although again i will wait to see what comes to light at the meeting . It will depend on new information.</w:t>
      </w:r>
    </w:p>
    <w:p>
      <w:pPr>
        <w:pStyle w:val="Normal"/>
        <w:rPr/>
      </w:pPr>
      <w:r>
        <w:rPr/>
        <w:t>As per new information, the California Coastal Commission has reminded us that regardless of the current Council’s bias, the law still applies: Visitor serving uses are prioritized, and as such should guide any future development on the site.</w:t>
      </w:r>
    </w:p>
    <w:p>
      <w:pPr>
        <w:pStyle w:val="Normal"/>
        <w:ind w:left="720" w:hanging="0"/>
        <w:rPr/>
      </w:pPr>
      <w:r>
        <w:rPr/>
        <w:t xml:space="preserve">KoppmanNorton, Julia@Coastal &lt;julia.koppmannorton@coastal.ca.gov&gt;  </w:t>
      </w:r>
    </w:p>
    <w:p>
      <w:pPr>
        <w:pStyle w:val="Normal"/>
        <w:ind w:left="720" w:hanging="0"/>
        <w:rPr/>
      </w:pPr>
      <w:r>
        <w:rPr/>
        <w:t>Sep 27, 2019, 11:04 AM</w:t>
      </w:r>
    </w:p>
    <w:p>
      <w:pPr>
        <w:pStyle w:val="Normal"/>
        <w:ind w:left="720" w:hanging="0"/>
        <w:rPr/>
      </w:pPr>
      <w:r>
        <w:rPr/>
        <w:t xml:space="preserve">to me, Joanne, Stephanie@Coastal, Jeannine@Coastal, Samuel </w:t>
      </w:r>
    </w:p>
    <w:p>
      <w:pPr>
        <w:pStyle w:val="Normal"/>
        <w:ind w:left="720" w:hanging="0"/>
        <w:rPr/>
      </w:pPr>
      <w:r>
        <w:rPr/>
        <w:t xml:space="preserve">Regarding the letter – yes, we are aware that it was sent out in 1996 by James Muth, who is no longer with the Coastal Commission. Instead of using this letter as direction, we would instead look to the certified LCP for guidance. Per the LCP, the property is in the Coastal-Combining Zone (CZ), </w:t>
      </w:r>
      <w:r>
        <w:rPr>
          <w:b/>
          <w:bCs/>
          <w:highlight w:val="yellow"/>
        </w:rPr>
        <w:t>in which visitor-serving uses are prioritized, and as such that should guide any future development on the site</w:t>
      </w:r>
      <w:r>
        <w:rPr/>
        <w:t>. Please feel free to let me know if you have further questions. Thanks!</w:t>
      </w:r>
    </w:p>
    <w:p>
      <w:pPr>
        <w:pStyle w:val="Normal"/>
        <w:rPr/>
      </w:pPr>
      <w:r>
        <w:rPr/>
        <w:t>Furthermore, an internal memo from the former coordinator of the General Plan Update to the City’s Planning Director, the City has known that the Pedro Point Fields is a wetlands which needs to be properly mapped.</w:t>
      </w:r>
    </w:p>
    <w:p>
      <w:pPr>
        <w:pStyle w:val="Normal"/>
        <w:rPr/>
      </w:pPr>
      <w:r>
        <w:rPr/>
        <mc:AlternateContent>
          <mc:Choice Requires="wps">
            <w:drawing>
              <wp:inline distT="0" distB="0" distL="0" distR="0" wp14:anchorId="232318BC">
                <wp:extent cx="6224905" cy="7797165"/>
                <wp:effectExtent l="38100" t="38100" r="100330" b="90805"/>
                <wp:docPr id="6"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10"/>
                        <a:stretch/>
                      </pic:blipFill>
                      <pic:spPr>
                        <a:xfrm>
                          <a:off x="0" y="0"/>
                          <a:ext cx="6224400" cy="779652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stroked="f" style="position:absolute;margin-left:0pt;margin-top:-613.95pt;width:490.05pt;height:613.85pt;mso-position-vertical:top" wp14:anchorId="232318BC" type="shapetype_75">
                <v:imagedata r:id="rId10" o:detectmouseclick="t"/>
                <w10:wrap type="none"/>
                <v:stroke color="#3465a4" joinstyle="round" endcap="flat"/>
              </v:shape>
            </w:pict>
          </mc:Fallback>
        </mc:AlternateContent>
      </w:r>
    </w:p>
    <w:p>
      <w:pPr>
        <w:pStyle w:val="Normal"/>
        <w:rPr/>
      </w:pPr>
      <w:r>
        <w:rPr/>
        <mc:AlternateContent>
          <mc:Choice Requires="wps">
            <w:drawing>
              <wp:inline distT="0" distB="0" distL="0" distR="0" wp14:anchorId="5C8BEE8F">
                <wp:extent cx="5927090" cy="6099175"/>
                <wp:effectExtent l="38100" t="38100" r="93345" b="92710"/>
                <wp:docPr id="7"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11"/>
                        <a:stretch/>
                      </pic:blipFill>
                      <pic:spPr>
                        <a:xfrm>
                          <a:off x="0" y="0"/>
                          <a:ext cx="5926320" cy="609840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stroked="f" style="position:absolute;margin-left:0pt;margin-top:-480.25pt;width:466.6pt;height:480.15pt;mso-position-vertical:top" wp14:anchorId="5C8BEE8F" type="shapetype_75">
                <v:imagedata r:id="rId11" o:detectmouseclick="t"/>
                <w10:wrap type="none"/>
                <v:stroke color="#3465a4" joinstyle="round" endcap="flat"/>
              </v:shape>
            </w:pict>
          </mc:Fallback>
        </mc:AlternateContent>
      </w:r>
    </w:p>
    <w:p>
      <w:pPr>
        <w:pStyle w:val="Heading1"/>
        <w:rPr>
          <w:rFonts w:ascii="Calibri" w:hAnsi="Calibri" w:cs="Calibri"/>
          <w:sz w:val="20"/>
          <w:szCs w:val="20"/>
        </w:rPr>
      </w:pPr>
      <w:r>
        <w:rPr/>
        <w:t>The City May Err in its finding that approval of the Post-Consultation Draft LCLUP is exempt from the California Environmental Quality Act (CEQA).</w:t>
      </w:r>
    </w:p>
    <w:p>
      <w:pPr>
        <w:pStyle w:val="Normal"/>
        <w:rPr/>
      </w:pPr>
      <w:r>
        <w:rPr/>
        <w:t xml:space="preserve">The Planning Staff has asked you as Councilmembers to sign a Resolution </w:t>
      </w:r>
      <w:r>
        <w:rPr>
          <w:i/>
          <w:iCs/>
        </w:rPr>
        <w:t>certifying that the LCLUP is intended to be carried out in a manner fully in conformity with the Coastal Act, and finding that approval of the LCLUP is exempt from the California Environmental Quality Act (CEQA).</w:t>
      </w:r>
      <w:r>
        <w:rPr>
          <w:rStyle w:val="FootnoteAnchor"/>
          <w:i/>
          <w:iCs/>
        </w:rPr>
        <w:footnoteReference w:id="6"/>
      </w:r>
      <w:r>
        <w:rPr/>
        <w:t xml:space="preserve">  Given the mountains of evidence: Brown Act Violations, sustained citizen opposition, geotechnical and biological hazards, and Sea Level Rise: Can you sign this in good faith?</w:t>
      </w:r>
    </w:p>
    <w:p>
      <w:pPr>
        <w:pStyle w:val="Normal"/>
        <w:rPr>
          <w:rFonts w:cs="Calibri" w:cstheme="minorHAnsi"/>
        </w:rPr>
      </w:pPr>
      <w:r>
        <w:rPr>
          <w:shd w:fill="FFFFFF" w:val="clear"/>
        </w:rPr>
        <w:t xml:space="preserve">The California Environmental Quality Act (CEQA) generally </w:t>
      </w:r>
      <w:r>
        <w:rPr>
          <w:b/>
          <w:bCs/>
          <w:shd w:fill="FFFFFF" w:val="clear"/>
        </w:rPr>
        <w:t>requires</w:t>
      </w:r>
      <w:r>
        <w:rPr>
          <w:shd w:fill="FFFFFF" w:val="clear"/>
        </w:rPr>
        <w:t xml:space="preserve"> state and local government agencies to inform decision makers and the public about the potential environmental impacts of proposed projects, and to reduce those environmental impacts to the extent feasible.</w:t>
      </w:r>
      <w:r>
        <w:rPr>
          <w:rStyle w:val="FootnoteAnchor"/>
          <w:rFonts w:cs="Calibri" w:cstheme="minorHAnsi"/>
          <w:color w:val="333333"/>
          <w:shd w:fill="FFFFFF" w:val="clear"/>
        </w:rPr>
        <w:footnoteReference w:id="7"/>
      </w:r>
      <w:r>
        <w:rPr>
          <w:shd w:fill="FFFFFF" w:val="clear"/>
        </w:rPr>
        <w:t xml:space="preserve">  By law, an action “</w:t>
      </w:r>
      <w:r>
        <w:rPr/>
        <w:t>which has a potential for resulting in either a direct physical change in the environment, or a reasonably foreseeable indirect physical change in the environment</w:t>
      </w:r>
      <w:r>
        <w:rPr>
          <w:rStyle w:val="FootnoteAnchor"/>
          <w:rFonts w:cs="Calibri" w:cstheme="minorHAnsi"/>
        </w:rPr>
        <w:footnoteReference w:id="8"/>
      </w:r>
      <w:r>
        <w:rPr/>
        <w:t xml:space="preserve">” is subject to CEQA; yet, city staff is asking you </w:t>
      </w:r>
      <w:r>
        <w:rPr>
          <w:rFonts w:cs="Calibri" w:cstheme="minorHAnsi"/>
        </w:rPr>
        <w:t>to attest otherwise.</w:t>
      </w:r>
    </w:p>
    <w:p>
      <w:pPr>
        <w:pStyle w:val="Normal"/>
        <w:rPr>
          <w:rFonts w:cs="Calibri" w:cstheme="minorHAnsi"/>
        </w:rPr>
      </w:pPr>
      <w:r>
        <w:rPr>
          <w:rFonts w:cs="Calibri" w:cstheme="minorHAnsi"/>
        </w:rPr>
        <w:t>The baseline environmental setting of the Field is currently a seasonal wetland, which has three well-established and persistent foot trails that lead from San Pedro Avenue (the nearest public roadway to the shoreline) to a private beach with long-established open public access.  If the Land Use Designation change as requested by the owner is granted, then these discretionary actions by the city must trigger a CEQA review, which should not be waived.  Below is a copy of the flyer distributed by the Land Owners at Fog Fest and outside the September 20, 2019 City Council Meeting.  It is more than reasonably foreseeable—it is obvious--that the discretionary Land Use Changes before you today will result in a physical change in the environment.</w:t>
      </w:r>
    </w:p>
    <w:p>
      <w:pPr>
        <w:pStyle w:val="Caption1"/>
        <w:keepNext w:val="true"/>
        <w:rPr/>
      </w:pPr>
      <w:r>
        <w:rPr/>
        <w:t>Figure 4: Proposed Developments as distributed Land Owners at Fog Fest and outside the Sept. 20, 2019 City Council Meeting</w:t>
      </w:r>
    </w:p>
    <w:p>
      <w:pPr>
        <w:pStyle w:val="Normal"/>
        <w:rPr>
          <w:rFonts w:cs="Calibri" w:cstheme="minorHAnsi"/>
        </w:rPr>
      </w:pPr>
      <w:r>
        <w:rPr/>
        <w:drawing>
          <wp:inline distT="0" distB="0" distL="0" distR="0">
            <wp:extent cx="5857875" cy="7512685"/>
            <wp:effectExtent l="0" t="0" r="0" b="0"/>
            <wp:docPr id="8"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
                    <pic:cNvPicPr>
                      <a:picLocks noChangeAspect="1" noChangeArrowheads="1"/>
                    </pic:cNvPicPr>
                  </pic:nvPicPr>
                  <pic:blipFill>
                    <a:blip r:embed="rId12"/>
                    <a:stretch>
                      <a:fillRect/>
                    </a:stretch>
                  </pic:blipFill>
                  <pic:spPr bwMode="auto">
                    <a:xfrm>
                      <a:off x="0" y="0"/>
                      <a:ext cx="5857875" cy="7512685"/>
                    </a:xfrm>
                    <a:prstGeom prst="rect">
                      <a:avLst/>
                    </a:prstGeom>
                  </pic:spPr>
                </pic:pic>
              </a:graphicData>
            </a:graphic>
          </wp:inline>
        </w:drawing>
      </w:r>
    </w:p>
    <w:p>
      <w:pPr>
        <w:pStyle w:val="Normal"/>
        <w:rPr>
          <w:rFonts w:cs="Calibri" w:cstheme="minorHAnsi"/>
        </w:rPr>
      </w:pPr>
      <w:r>
        <w:rPr>
          <w:rFonts w:cs="Calibri" w:cstheme="minorHAnsi"/>
        </w:rPr>
      </w:r>
    </w:p>
    <w:p>
      <w:pPr>
        <w:pStyle w:val="Normal"/>
        <w:rPr>
          <w:rFonts w:cs="Calibri" w:cstheme="minorHAnsi"/>
        </w:rPr>
      </w:pPr>
      <w:r>
        <w:rPr>
          <w:rFonts w:cs="Calibri" w:cstheme="minorHAnsi"/>
        </w:rPr>
        <w:t>The Project Timeline as presented on the Plan Pacific page excerpted below, boldly attempts to remove jurisdiction for environmental review away from the Coastal Commission, the agency best equipped to understand environmental impacts on the coast.  This further speaks to the City’s efforts to remove science, reason, and financial sustainability and responsibility from its long-term planning decisions in favor of short-term profits.</w:t>
      </w:r>
    </w:p>
    <w:p>
      <w:pPr>
        <w:pStyle w:val="Normal"/>
        <w:rPr/>
      </w:pPr>
      <w:r>
        <w:rPr/>
        <w:drawing>
          <wp:inline distT="0" distB="0" distL="0" distR="0">
            <wp:extent cx="5943600" cy="4111625"/>
            <wp:effectExtent l="0" t="0" r="0" b="0"/>
            <wp:docPr id="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
                    <pic:cNvPicPr>
                      <a:picLocks noChangeAspect="1" noChangeArrowheads="1"/>
                    </pic:cNvPicPr>
                  </pic:nvPicPr>
                  <pic:blipFill>
                    <a:blip r:embed="rId13"/>
                    <a:stretch>
                      <a:fillRect/>
                    </a:stretch>
                  </pic:blipFill>
                  <pic:spPr bwMode="auto">
                    <a:xfrm>
                      <a:off x="0" y="0"/>
                      <a:ext cx="5943600" cy="4111625"/>
                    </a:xfrm>
                    <a:prstGeom prst="rect">
                      <a:avLst/>
                    </a:prstGeom>
                  </pic:spPr>
                </pic:pic>
              </a:graphicData>
            </a:graphic>
          </wp:inline>
        </w:drawing>
      </w:r>
    </w:p>
    <w:p>
      <w:pPr>
        <w:pStyle w:val="Normal"/>
        <w:keepNext w:val="true"/>
        <w:rPr/>
      </w:pPr>
      <w:r>
        <w:rPr/>
      </w:r>
    </w:p>
    <w:p>
      <w:pPr>
        <w:pStyle w:val="Normal"/>
        <w:rPr>
          <w:sz w:val="20"/>
          <w:szCs w:val="20"/>
        </w:rPr>
      </w:pPr>
      <w:r>
        <w:rPr>
          <w:sz w:val="20"/>
          <w:szCs w:val="20"/>
        </w:rPr>
        <w:t>For the many reasons documented above, the City has continued to bias its decisions towards the desire of one landowner to modify a known wetlands to maximize short-term financial gains for one person at profound expense and risk to the City, the Environment, its Residents, and all who wish to enjoy and recreate at or near California’s Coast.</w:t>
      </w:r>
    </w:p>
    <w:p>
      <w:pPr>
        <w:pStyle w:val="Normal"/>
        <w:rPr>
          <w:sz w:val="20"/>
          <w:szCs w:val="20"/>
        </w:rPr>
      </w:pPr>
      <w:r>
        <w:rPr>
          <w:sz w:val="20"/>
          <w:szCs w:val="20"/>
        </w:rPr>
      </w:r>
    </w:p>
    <w:p>
      <w:pPr>
        <w:pStyle w:val="Normal"/>
        <w:rPr>
          <w:sz w:val="20"/>
          <w:szCs w:val="20"/>
        </w:rPr>
      </w:pPr>
      <w:r>
        <w:rPr>
          <w:sz w:val="20"/>
          <w:szCs w:val="20"/>
        </w:rPr>
        <w:t>Sincerely Yours,</w:t>
      </w:r>
    </w:p>
    <w:p>
      <w:pPr>
        <w:pStyle w:val="Normal"/>
        <w:spacing w:lineRule="auto" w:line="240" w:before="0" w:after="0"/>
        <w:rPr>
          <w:sz w:val="20"/>
          <w:szCs w:val="20"/>
        </w:rPr>
      </w:pPr>
      <w:r>
        <w:rPr>
          <w:sz w:val="20"/>
          <w:szCs w:val="20"/>
        </w:rPr>
        <w:t>Cherie Chan and Bruce Ferry</w:t>
      </w:r>
    </w:p>
    <w:p>
      <w:pPr>
        <w:pStyle w:val="Normal"/>
        <w:spacing w:lineRule="auto" w:line="240" w:before="0" w:after="0"/>
        <w:rPr>
          <w:sz w:val="20"/>
          <w:szCs w:val="20"/>
        </w:rPr>
      </w:pPr>
      <w:r>
        <w:rPr>
          <w:sz w:val="20"/>
          <w:szCs w:val="20"/>
        </w:rPr>
        <w:t>San Pedro Avenue</w:t>
      </w:r>
    </w:p>
    <w:p>
      <w:pPr>
        <w:pStyle w:val="Normal"/>
        <w:spacing w:lineRule="auto" w:line="240" w:before="0" w:after="0"/>
        <w:rPr>
          <w:sz w:val="20"/>
          <w:szCs w:val="20"/>
        </w:rPr>
      </w:pPr>
      <w:r>
        <w:rPr>
          <w:sz w:val="20"/>
          <w:szCs w:val="20"/>
        </w:rPr>
        <w:t>Cherieandbruce@gmail.com</w:t>
      </w:r>
    </w:p>
    <w:p>
      <w:pPr>
        <w:pStyle w:val="Normal"/>
        <w:spacing w:lineRule="auto" w:line="240" w:before="0" w:after="0"/>
        <w:rPr>
          <w:sz w:val="20"/>
          <w:szCs w:val="20"/>
        </w:rPr>
      </w:pPr>
      <w:r>
        <w:rPr>
          <w:sz w:val="20"/>
          <w:szCs w:val="20"/>
        </w:rPr>
      </w:r>
    </w:p>
    <w:p>
      <w:pPr>
        <w:pStyle w:val="Normal"/>
        <w:rPr>
          <w:sz w:val="20"/>
          <w:szCs w:val="20"/>
        </w:rPr>
      </w:pPr>
      <w:r>
        <w:rPr>
          <w:sz w:val="20"/>
          <w:szCs w:val="20"/>
        </w:rPr>
      </w:r>
    </w:p>
    <w:p>
      <w:pPr>
        <w:pStyle w:val="Normal"/>
        <w:widowControl/>
        <w:bidi w:val="0"/>
        <w:spacing w:lineRule="auto" w:line="259" w:before="0" w:after="160"/>
        <w:jc w:val="left"/>
        <w:rPr/>
      </w:pPr>
      <w:r>
        <w:rPr/>
      </w:r>
    </w:p>
    <w:sectPr>
      <w:footnotePr>
        <w:numFmt w:val="decimal"/>
      </w:footnote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swiss"/>
    <w:pitch w:val="default"/>
  </w:font>
  <w:font w:name="Calibri Light">
    <w:charset w:val="01"/>
    <w:family w:val="swiss"/>
    <w:pitch w:val="default"/>
  </w:font>
  <w:font w:name="Times New Roman">
    <w:charset w:val="01"/>
    <w:family w:val="swiss"/>
    <w:pitch w:val="default"/>
  </w:font>
  <w:font w:name="Arial">
    <w:charset w:val="01"/>
    <w:family w:val="swiss"/>
    <w:pitch w:val="default"/>
  </w:font>
  <w:font w:name="GXRECF+ArialNarrow">
    <w:charset w:val="01"/>
    <w:family w:val="swiss"/>
    <w:pitch w:val="default"/>
  </w:font>
  <w:font w:name="Garamond">
    <w:charset w:val="01"/>
    <w:family w:val="swiss"/>
    <w:pitch w:val="default"/>
  </w:font>
  <w:font w:name="Garamond-Bold">
    <w:charset w:val="01"/>
    <w:family w:val="swiss"/>
    <w:pitch w:val="default"/>
  </w:font>
  <w:font w:name="Garamond-Italic">
    <w:charset w:val="01"/>
    <w:family w:val="swiss"/>
    <w:pitch w:val="default"/>
  </w:font>
  <w:font w:name="Tahoma">
    <w:charset w:val="01"/>
    <w:family w:val="swiss"/>
    <w:pitch w:val="default"/>
  </w:font>
  <w:font w:name="Georgia">
    <w:charset w:val="01"/>
    <w:family w:val="swiss"/>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
        <w:rPr/>
      </w:pPr>
      <w:r>
        <w:rPr>
          <w:rStyle w:val="FootnoteCharacters"/>
        </w:rPr>
        <w:footnoteRef/>
      </w:r>
      <w:r>
        <w:rPr/>
        <w:t xml:space="preserve"> </w:t>
      </w:r>
      <w:r>
        <w:rPr/>
        <w:t>Available at: http://www.cityofpacifica.org/civica/filebank/blobdload.asp?BlobID=2293</w:t>
      </w:r>
    </w:p>
    <w:p>
      <w:pPr>
        <w:pStyle w:val="Footnote"/>
        <w:rPr/>
      </w:pPr>
      <w:r>
        <w:rPr/>
        <w:t>Pedro Point begins on page C-54, electronically page 63.</w:t>
      </w:r>
    </w:p>
  </w:footnote>
  <w:footnote w:id="3">
    <w:p>
      <w:pPr>
        <w:pStyle w:val="Footnote"/>
        <w:rPr/>
      </w:pPr>
      <w:r>
        <w:rPr>
          <w:rStyle w:val="FootnoteCharacters"/>
        </w:rPr>
        <w:footnoteRef/>
      </w:r>
      <w:r>
        <w:rPr/>
        <w:t xml:space="preserve"> </w:t>
      </w:r>
      <w:r>
        <w:rPr/>
        <w:t>On Electronic Packet Page 195: the actual page numbers of the PDF file are obscured, but I infer it to be page 1-29.</w:t>
      </w:r>
    </w:p>
  </w:footnote>
  <w:footnote w:id="4">
    <w:p>
      <w:pPr>
        <w:pStyle w:val="Footnote"/>
        <w:rPr>
          <w:rFonts w:ascii="Arial" w:hAnsi="Arial" w:cs="Arial"/>
          <w:color w:val="333333"/>
          <w:sz w:val="21"/>
          <w:szCs w:val="21"/>
          <w:highlight w:val="white"/>
        </w:rPr>
      </w:pPr>
      <w:r>
        <w:rPr>
          <w:rStyle w:val="FootnoteCharacters"/>
        </w:rPr>
        <w:footnoteRef/>
      </w:r>
      <w:r>
        <w:rPr/>
        <w:t xml:space="preserve"> </w:t>
      </w:r>
      <w:r>
        <w:rPr>
          <w:rFonts w:cs="Arial" w:ascii="Arial" w:hAnsi="Arial"/>
          <w:color w:val="333333"/>
          <w:sz w:val="21"/>
          <w:szCs w:val="21"/>
          <w:shd w:fill="FFFFFF" w:val="clear"/>
        </w:rPr>
        <w:t xml:space="preserve">The most well-loved and well-used beach in Pacifica!”  From the City of Pacifica’s Website: </w:t>
      </w:r>
    </w:p>
    <w:p>
      <w:pPr>
        <w:pStyle w:val="Footnote"/>
        <w:rPr/>
      </w:pPr>
      <w:hyperlink r:id="rId1">
        <w:r>
          <w:rPr>
            <w:rStyle w:val="InternetLink"/>
          </w:rPr>
          <w:t>https://www.cityofpacifica.org/depts/rec_department/parksbeaches/beach_and_park_info_and_rules/linda_mar_(pacifica_state_beach)/default.asp</w:t>
        </w:r>
      </w:hyperlink>
    </w:p>
  </w:footnote>
  <w:footnote w:id="5">
    <w:p>
      <w:pPr>
        <w:pStyle w:val="Footnote"/>
        <w:rPr/>
      </w:pPr>
      <w:r>
        <w:rPr>
          <w:rStyle w:val="FootnoteCharacters"/>
        </w:rPr>
        <w:footnoteRef/>
      </w:r>
      <w:r>
        <w:rPr/>
        <w:t xml:space="preserve"> </w:t>
      </w:r>
      <w:r>
        <w:rPr/>
        <w:t>Website of the Pacifica Chamber of Commerce and Visitor Center: .</w:t>
      </w:r>
      <w:hyperlink r:id="rId2">
        <w:r>
          <w:rPr>
            <w:rStyle w:val="InternetLink"/>
          </w:rPr>
          <w:t>http://visitpacifica.com/index.php?page=16</w:t>
        </w:r>
      </w:hyperlink>
    </w:p>
  </w:footnote>
  <w:footnote w:id="6">
    <w:p>
      <w:pPr>
        <w:pStyle w:val="Footnote"/>
        <w:rPr/>
      </w:pPr>
      <w:r>
        <w:rPr>
          <w:rStyle w:val="FootnoteCharacters"/>
        </w:rPr>
        <w:footnoteRef/>
      </w:r>
      <w:r>
        <w:rPr/>
        <w:t xml:space="preserve"> </w:t>
      </w:r>
      <w:r>
        <w:rPr/>
        <w:t>Resolution of the City Council.  Agenda Packet at Page 60</w:t>
      </w:r>
    </w:p>
  </w:footnote>
  <w:footnote w:id="7">
    <w:p>
      <w:pPr>
        <w:pStyle w:val="Footnote"/>
        <w:rPr/>
      </w:pPr>
      <w:r>
        <w:rPr>
          <w:rStyle w:val="FootnoteCharacters"/>
        </w:rPr>
        <w:footnoteRef/>
      </w:r>
      <w:r>
        <w:rPr/>
        <w:t xml:space="preserve"> </w:t>
      </w:r>
      <w:r>
        <w:rPr/>
        <w:t xml:space="preserve">From the Homepage of the California Office of Planning and Research which governs General Plans.  </w:t>
      </w:r>
      <w:hyperlink r:id="rId3">
        <w:r>
          <w:rPr>
            <w:rStyle w:val="InternetLink"/>
          </w:rPr>
          <w:t>http://opr.ca.gov/ceqa/</w:t>
        </w:r>
      </w:hyperlink>
    </w:p>
  </w:footnote>
  <w:footnote w:id="8">
    <w:p>
      <w:pPr>
        <w:pStyle w:val="Normal"/>
        <w:spacing w:before="0" w:after="160"/>
        <w:rPr/>
      </w:pPr>
      <w:r>
        <w:rPr>
          <w:rStyle w:val="FootnoteCharacters"/>
        </w:rPr>
        <w:footnoteRef/>
      </w:r>
      <w:r>
        <w:rPr/>
        <w:t xml:space="preserve"> </w:t>
      </w:r>
      <w:r>
        <w:rPr/>
        <w:t>California Code of Regulations Chapter 3: Guidelines for Implementation of the California Environmental Quality Act., 201814 CCR § 15378</w:t>
      </w:r>
      <w:r>
        <w:rPr>
          <w:rFonts w:ascii="Georgia" w:hAnsi="Georgia"/>
          <w:color w:val="212121"/>
          <w:shd w:fill="FFFFFF" w:val="clear"/>
        </w:rPr>
        <w:t xml:space="preserve">  </w:t>
      </w:r>
    </w:p>
  </w:footnote>
</w:footnotes>
</file>

<file path=word/settings.xml><?xml version="1.0" encoding="utf-8"?>
<w:settings xmlns:w="http://schemas.openxmlformats.org/wordprocessingml/2006/main">
  <w:zoom w:percent="90"/>
  <w:defaultTabStop w:val="720"/>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0671bd"/>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Heading2">
    <w:name w:val="Heading 2"/>
    <w:basedOn w:val="Normal"/>
    <w:next w:val="Normal"/>
    <w:link w:val="Heading2Char"/>
    <w:uiPriority w:val="9"/>
    <w:unhideWhenUsed/>
    <w:qFormat/>
    <w:rsid w:val="00950dd9"/>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Heading3">
    <w:name w:val="Heading 3"/>
    <w:basedOn w:val="Normal"/>
    <w:next w:val="Normal"/>
    <w:link w:val="Heading3Char"/>
    <w:uiPriority w:val="9"/>
    <w:unhideWhenUsed/>
    <w:qFormat/>
    <w:rsid w:val="003e1f99"/>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b06cd6"/>
    <w:rPr>
      <w:color w:val="0563C1" w:themeColor="hyperlink"/>
      <w:u w:val="single"/>
    </w:rPr>
  </w:style>
  <w:style w:type="character" w:styleId="UnresolvedMention">
    <w:name w:val="Unresolved Mention"/>
    <w:basedOn w:val="DefaultParagraphFont"/>
    <w:uiPriority w:val="99"/>
    <w:semiHidden/>
    <w:unhideWhenUsed/>
    <w:qFormat/>
    <w:rsid w:val="00b06cd6"/>
    <w:rPr>
      <w:color w:val="605E5C"/>
      <w:shd w:fill="E1DFDD" w:val="clear"/>
    </w:rPr>
  </w:style>
  <w:style w:type="character" w:styleId="Heading2Char" w:customStyle="1">
    <w:name w:val="Heading 2 Char"/>
    <w:basedOn w:val="DefaultParagraphFont"/>
    <w:link w:val="Heading2"/>
    <w:uiPriority w:val="9"/>
    <w:qFormat/>
    <w:rsid w:val="00950dd9"/>
    <w:rPr>
      <w:rFonts w:ascii="Calibri Light" w:hAnsi="Calibri Light" w:eastAsia="" w:cs="" w:asciiTheme="majorHAnsi" w:cstheme="majorBidi" w:eastAsiaTheme="majorEastAsia" w:hAnsiTheme="majorHAnsi"/>
      <w:color w:val="2F5496" w:themeColor="accent1" w:themeShade="bf"/>
      <w:sz w:val="26"/>
      <w:szCs w:val="26"/>
    </w:rPr>
  </w:style>
  <w:style w:type="character" w:styleId="Heading3Char" w:customStyle="1">
    <w:name w:val="Heading 3 Char"/>
    <w:basedOn w:val="DefaultParagraphFont"/>
    <w:link w:val="Heading3"/>
    <w:uiPriority w:val="9"/>
    <w:qFormat/>
    <w:rsid w:val="003e1f99"/>
    <w:rPr>
      <w:rFonts w:ascii="Calibri Light" w:hAnsi="Calibri Light" w:eastAsia="" w:cs="" w:asciiTheme="majorHAnsi" w:cstheme="majorBidi" w:eastAsiaTheme="majorEastAsia" w:hAnsiTheme="majorHAnsi"/>
      <w:color w:val="1F3763" w:themeColor="accent1" w:themeShade="7f"/>
      <w:sz w:val="24"/>
      <w:szCs w:val="24"/>
    </w:rPr>
  </w:style>
  <w:style w:type="character" w:styleId="FootnoteTextChar" w:customStyle="1">
    <w:name w:val="Footnote Text Char"/>
    <w:basedOn w:val="DefaultParagraphFont"/>
    <w:link w:val="FootnoteText"/>
    <w:uiPriority w:val="99"/>
    <w:qFormat/>
    <w:rsid w:val="007c389c"/>
    <w:rPr>
      <w:sz w:val="20"/>
      <w:szCs w:val="20"/>
    </w:rPr>
  </w:style>
  <w:style w:type="character" w:styleId="FootnoteCharacters">
    <w:name w:val="Footnote Characters"/>
    <w:basedOn w:val="DefaultParagraphFont"/>
    <w:uiPriority w:val="99"/>
    <w:semiHidden/>
    <w:unhideWhenUsed/>
    <w:qFormat/>
    <w:rsid w:val="007c389c"/>
    <w:rPr>
      <w:vertAlign w:val="superscript"/>
    </w:rPr>
  </w:style>
  <w:style w:type="character" w:styleId="FootnoteAnchor">
    <w:name w:val="Footnote Anchor"/>
    <w:rPr>
      <w:vertAlign w:val="superscript"/>
    </w:rPr>
  </w:style>
  <w:style w:type="character" w:styleId="QuoteChar" w:customStyle="1">
    <w:name w:val="Quote Char"/>
    <w:basedOn w:val="DefaultParagraphFont"/>
    <w:link w:val="Quote"/>
    <w:uiPriority w:val="29"/>
    <w:qFormat/>
    <w:rsid w:val="00db19f7"/>
    <w:rPr>
      <w:i/>
      <w:iCs/>
      <w:color w:val="404040" w:themeColor="text1" w:themeTint="bf"/>
    </w:rPr>
  </w:style>
  <w:style w:type="character" w:styleId="Heading1Char" w:customStyle="1">
    <w:name w:val="Heading 1 Char"/>
    <w:basedOn w:val="DefaultParagraphFont"/>
    <w:link w:val="Heading1"/>
    <w:uiPriority w:val="9"/>
    <w:qFormat/>
    <w:rsid w:val="000671bd"/>
    <w:rPr>
      <w:rFonts w:ascii="Calibri Light" w:hAnsi="Calibri Light" w:eastAsia="" w:cs="" w:asciiTheme="majorHAnsi" w:cstheme="majorBidi" w:eastAsiaTheme="majorEastAsia" w:hAnsiTheme="majorHAnsi"/>
      <w:color w:val="2F5496" w:themeColor="accent1" w:themeShade="bf"/>
      <w:sz w:val="32"/>
      <w:szCs w:val="32"/>
    </w:rPr>
  </w:style>
  <w:style w:type="character" w:styleId="HeaderChar" w:customStyle="1">
    <w:name w:val="Header Char"/>
    <w:basedOn w:val="DefaultParagraphFont"/>
    <w:link w:val="Header"/>
    <w:semiHidden/>
    <w:qFormat/>
    <w:rsid w:val="000c3cd5"/>
    <w:rPr>
      <w:rFonts w:ascii="Times New Roman" w:hAnsi="Times New Roman" w:eastAsia="Times New Roman" w:cs="Times New Roman"/>
      <w:sz w:val="24"/>
      <w:szCs w:val="24"/>
    </w:rPr>
  </w:style>
  <w:style w:type="character" w:styleId="Il" w:customStyle="1">
    <w:name w:val="il"/>
    <w:basedOn w:val="DefaultParagraphFont"/>
    <w:qFormat/>
    <w:rsid w:val="00e02ce9"/>
    <w:rPr/>
  </w:style>
  <w:style w:type="character" w:styleId="ListLabel1">
    <w:name w:val="ListLabel 1"/>
    <w:qFormat/>
    <w:rPr>
      <w:rFonts w:cs="Calibri" w:cstheme="minorHAnsi"/>
      <w:sz w:val="20"/>
      <w:szCs w:val="20"/>
    </w:rPr>
  </w:style>
  <w:style w:type="character" w:styleId="ListLabel2">
    <w:name w:val="ListLabel 2"/>
    <w:qFormat/>
    <w:rPr>
      <w:rFonts w:ascii="Arial" w:hAnsi="Arial" w:cs="Arial"/>
      <w:color w:val="1155CC"/>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ascii="Arial" w:hAnsi="Arial" w:cs="Arial"/>
    </w:rPr>
  </w:style>
  <w:style w:type="paragraph" w:styleId="Caption">
    <w:name w:val="Caption"/>
    <w:basedOn w:val="Normal"/>
    <w:qFormat/>
    <w:pPr>
      <w:suppressLineNumbers/>
      <w:spacing w:before="120" w:after="120"/>
    </w:pPr>
    <w:rPr>
      <w:rFonts w:ascii="Arial" w:hAnsi="Arial" w:cs="Arial"/>
      <w:i/>
      <w:iCs/>
      <w:sz w:val="24"/>
      <w:szCs w:val="24"/>
    </w:rPr>
  </w:style>
  <w:style w:type="paragraph" w:styleId="Index">
    <w:name w:val="Index"/>
    <w:basedOn w:val="Normal"/>
    <w:qFormat/>
    <w:pPr>
      <w:suppressLineNumbers/>
    </w:pPr>
    <w:rPr>
      <w:rFonts w:ascii="Arial" w:hAnsi="Arial" w:cs="Arial"/>
    </w:rPr>
  </w:style>
  <w:style w:type="paragraph" w:styleId="ListParagraph">
    <w:name w:val="List Paragraph"/>
    <w:basedOn w:val="Normal"/>
    <w:uiPriority w:val="34"/>
    <w:qFormat/>
    <w:rsid w:val="005d4a60"/>
    <w:pPr>
      <w:spacing w:before="0" w:after="160"/>
      <w:ind w:left="720" w:hanging="0"/>
      <w:contextualSpacing/>
    </w:pPr>
    <w:rPr/>
  </w:style>
  <w:style w:type="paragraph" w:styleId="Footnote">
    <w:name w:val="Footnote Text"/>
    <w:basedOn w:val="Normal"/>
    <w:link w:val="FootnoteTextChar"/>
    <w:uiPriority w:val="99"/>
    <w:unhideWhenUsed/>
    <w:rsid w:val="007c389c"/>
    <w:pPr>
      <w:spacing w:lineRule="auto" w:line="240" w:before="0" w:after="0"/>
    </w:pPr>
    <w:rPr>
      <w:sz w:val="20"/>
      <w:szCs w:val="20"/>
    </w:rPr>
  </w:style>
  <w:style w:type="paragraph" w:styleId="Default" w:customStyle="1">
    <w:name w:val="Default"/>
    <w:qFormat/>
    <w:rsid w:val="001c1910"/>
    <w:pPr>
      <w:widowControl/>
      <w:bidi w:val="0"/>
      <w:spacing w:lineRule="auto" w:line="240" w:before="0" w:after="0"/>
      <w:jc w:val="left"/>
    </w:pPr>
    <w:rPr>
      <w:rFonts w:ascii="GXRECF+ArialNarrow" w:hAnsi="GXRECF+ArialNarrow" w:cs="GXRECF+ArialNarrow" w:eastAsia="Calibri"/>
      <w:color w:val="000000"/>
      <w:kern w:val="0"/>
      <w:sz w:val="24"/>
      <w:szCs w:val="24"/>
      <w:lang w:val="en-US" w:eastAsia="en-US" w:bidi="ar-SA"/>
    </w:rPr>
  </w:style>
  <w:style w:type="paragraph" w:styleId="Caption1">
    <w:name w:val="caption"/>
    <w:basedOn w:val="Normal"/>
    <w:next w:val="Normal"/>
    <w:uiPriority w:val="35"/>
    <w:unhideWhenUsed/>
    <w:qFormat/>
    <w:rsid w:val="00746242"/>
    <w:pPr>
      <w:spacing w:lineRule="auto" w:line="240" w:before="0" w:after="200"/>
    </w:pPr>
    <w:rPr>
      <w:i/>
      <w:iCs/>
      <w:color w:val="44546A" w:themeColor="text2"/>
      <w:sz w:val="18"/>
      <w:szCs w:val="18"/>
    </w:rPr>
  </w:style>
  <w:style w:type="paragraph" w:styleId="Quote">
    <w:name w:val="Quote"/>
    <w:basedOn w:val="Normal"/>
    <w:next w:val="Normal"/>
    <w:link w:val="QuoteChar"/>
    <w:uiPriority w:val="29"/>
    <w:qFormat/>
    <w:rsid w:val="00db19f7"/>
    <w:pPr>
      <w:spacing w:before="200" w:after="160"/>
      <w:ind w:left="864" w:right="864" w:hanging="0"/>
      <w:jc w:val="center"/>
    </w:pPr>
    <w:rPr>
      <w:i/>
      <w:iCs/>
      <w:color w:val="404040" w:themeColor="text1" w:themeTint="bf"/>
    </w:rPr>
  </w:style>
  <w:style w:type="paragraph" w:styleId="NormalWeb">
    <w:name w:val="Normal (Web)"/>
    <w:basedOn w:val="Normal"/>
    <w:uiPriority w:val="99"/>
    <w:semiHidden/>
    <w:unhideWhenUsed/>
    <w:qFormat/>
    <w:rsid w:val="00027dab"/>
    <w:pPr>
      <w:spacing w:lineRule="auto" w:line="240" w:beforeAutospacing="1" w:afterAutospacing="1"/>
    </w:pPr>
    <w:rPr>
      <w:rFonts w:ascii="Times New Roman" w:hAnsi="Times New Roman" w:eastAsia="Times New Roman" w:cs="Times New Roman"/>
      <w:sz w:val="24"/>
      <w:szCs w:val="24"/>
    </w:rPr>
  </w:style>
  <w:style w:type="paragraph" w:styleId="Header">
    <w:name w:val="Header"/>
    <w:basedOn w:val="Normal"/>
    <w:link w:val="HeaderChar"/>
    <w:semiHidden/>
    <w:unhideWhenUsed/>
    <w:rsid w:val="000c3cd5"/>
    <w:pPr>
      <w:tabs>
        <w:tab w:val="clear" w:pos="720"/>
        <w:tab w:val="center" w:pos="4680" w:leader="none"/>
        <w:tab w:val="right" w:pos="9360" w:leader="none"/>
      </w:tabs>
      <w:spacing w:lineRule="auto" w:line="240" w:before="0" w:after="0"/>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b7671b"/>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pedropoint.org/the-pedro-point-field" TargetMode="External"/><Relationship Id="rId3" Type="http://schemas.openxmlformats.org/officeDocument/2006/relationships/image" Target="media/image1.wmf"/><Relationship Id="rId4" Type="http://schemas.openxmlformats.org/officeDocument/2006/relationships/image" Target="media/image2.wmf"/><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hyperlink" Target="mailto:vaterlauss@ci.pacifica.ca.us" TargetMode="External"/><Relationship Id="rId9" Type="http://schemas.openxmlformats.org/officeDocument/2006/relationships/hyperlink" Target="mailto:joannegold@yahoo.com" TargetMode="Externa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wmf"/><Relationship Id="rId13" Type="http://schemas.openxmlformats.org/officeDocument/2006/relationships/image" Target="media/image9.png"/><Relationship Id="rId14" Type="http://schemas.openxmlformats.org/officeDocument/2006/relationships/footnotes" Target="footnotes.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www.cityofpacifica.org/depts/rec_department/parksbeaches/beach_and_park_info_and_rules/linda_mar_(pacifica_state_beach)/default.asp" TargetMode="External"/><Relationship Id="rId2" Type="http://schemas.openxmlformats.org/officeDocument/2006/relationships/hyperlink" Target="http://visitpacifica.com/index.php?page=16" TargetMode="External"/><Relationship Id="rId3" Type="http://schemas.openxmlformats.org/officeDocument/2006/relationships/hyperlink" Target="http://opr.ca.gov/ceqa/"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8EDC4-5ADB-40E2-AE9F-B5079E9A4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Application>LibreOffice/6.2.5.2$Windows_X86_64 LibreOffice_project/1ec314fa52f458adc18c4f025c545a4e8b22c159</Application>
  <Pages>4</Pages>
  <Words>2932</Words>
  <Characters>17017</Characters>
  <CharactersWithSpaces>19908</CharactersWithSpaces>
  <Paragraphs>110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2020-02-24T17:01:00Z</dcterms:created>
  <dc:creator>Cherie Chan</dc:creator>
  <dc:description/>
  <dc:language>en-US</dc:language>
  <cp:lastModifiedBy>Cherie Chan</cp:lastModifiedBy>
  <dcterms:modified xsi:type="dcterms:W3CDTF">2020-02-25T02:31:00Z</dcterms:modified>
  <cp:revision>39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